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213 vom 1. Januar 1984</w:t>
      </w:r>
    </w:p>
    <w:p>
      <w:r>
        <w:t>Bundesgericht (BGE), 1984-01-01, FR</w:t>
      </w:r>
    </w:p>
    <w:p>
      <w:r>
        <w:rPr>
          <w:b/>
        </w:rPr>
        <w:t xml:space="preserve">Quelle: </w:t>
      </w:r>
      <w:r>
        <w:t>https://mcp.opencaselaw.ch/entscheid/bge_BGE_110_Ib_213</w:t>
      </w:r>
    </w:p>
    <w:p>
      <w:r>
        <w:t>FR: BGE BGE 110 Ib 213 du 1 janvier 1984</w:t>
      </w:r>
    </w:p>
    <w:p>
      <w:r>
        <w:t>IT: BGE BGE 110 Ib 213 del 1 gennaio 1984</w:t>
      </w:r>
    </w:p>
    <w:p>
      <w:pPr>
        <w:pStyle w:val="Heading2"/>
      </w:pPr>
      <w:r>
        <w:t>Regeste</w:t>
      </w:r>
    </w:p>
    <w:p>
      <w:r>
        <w:t>Regeste 1. Eintretensfragen. Begehren auf Feststellung von Rechten im verwaltungsgerichtlichen Beschwerdeverfahren; Voraussetzungen der Zulässigkeit (E. 1a). Gesellschaft mit fiktivem statutarischem Sitz: Prüfung, ob die Gesellschaft - unter Zugrundelegung der Inkorporationstheorie - Rechtspersönlichkeit hat und damit beschwerdebefugt ist (E. 1b). 2. Umsatzabgabe: Abgabebefreiung des ausländischen Börsenagenten (Art. 19 StG). Börsenagent ist nur, wer tatsächlich als Effektenhändler i.S. von Art. 13 Abs. 3 StG tätig ist. Eine Gesellschaft, die weder Personal noch Geschäftsräume hat und mithin keinerlei eigene Tätigkeit ausübt, gelangt nicht in den Genuss der Abgabebefreiung gemäss Art. 19 StG (E. 3 und 4).</w:t>
      </w:r>
    </w:p>
    <w:p>
      <w:r>
        <w:t>Regeste 1. Questions de recevabilité. Recevabilité de conclusions en constatation de droit dans un recours de droit administratif (consid. 1a). Examen, au regard de la théorie de l'incorporation, de la personnalité juridique - et donc de la qualité pour recourir - d'une société dont le siège statutaire est fictif (consid. 1b). 2. Droit de timbre de négociation: statut privilégié d'agent de change étranger (art. 19 LT). Le statut d'agent de change ne peut être reconnu qu'à celui qui exerce effectivement une activité propre de commerçant de titres au sens de l'art. 13 al. 3 lettre a LT. Une société qui, comme en l'espèce, n'a ni personnel ni bureau et n'exerce donc aucune activité par elle-même ne peut pas bénéficier de l'exonération prévue à l'art. 19 LT (consid. 3 et 4).</w:t>
      </w:r>
    </w:p>
    <w:p>
      <w:r>
        <w:t>Regesto 1. Questioni di ammissibilità. Ammissibilità, nel quadro di un ricorso di diritto amministrativo, di conclusioni tendenti all'accertamento di diritti (consid. 1a). Esame, con riferimento alla teoria dell'incorporazione, della personalità giuridica - e pertanto della legittimazione ricorsuale - di una società la cui sede statutaria è fittizia (consid. 1b). 2. Tassa di negoziazione: privilegio dell'agente di cambio straniero (art. 19 LTB). La qualità di agente di cambio può essere riconosciuta soltanto a chi effettivamente compra e vende per professione titoli, ai sensi dell'art. 13 cpv. 3 lett. a LTB. Una società che, come nella fattispecie, non dispone di personale né di ufficio e non esercita direttamente alcuna attività, non può beneficiare dell'esenzione prevista dall'art. 19 LTB (consid. 3-4).</w:t>
      </w:r>
    </w:p>
    <w:p>
      <w:pPr>
        <w:pStyle w:val="Heading2"/>
      </w:pPr>
      <w:r>
        <w:t>Erwägungen</w:t>
      </w:r>
    </w:p>
    <w:p>
      <w:r>
        <w:rPr>
          <w:b/>
        </w:rPr>
        <w:t>E. 1</w:t>
      </w:r>
    </w:p>
    <w:p>
      <w:r>
        <w:t>Formé en temps utile contre une décision prise sur réclamation par l'Administration fédérale des contributions, le BGE 110 Ib 213 S. 215 présent recours est en principe recevable en vertu de l'art. 40 de la loi fédérale du 27 juin 1973 sur les droits de timbre (LT; RS 641.10). Mais il faut encore vérifier s'il répond aux conditions générales de recevabilité du recours de droit administratif prévues aux art. 97 ss OJ ; c'est là une question que le Tribunal fédéral examine d'office, sans être lié par les conclusions des parties, ni par les moyens qu'elles ont - ou n'ont pas - fait valoir à ce sujet ( ATF 109 Ia 64 et arrêts cités). a) A la différence du recours de droit public pouvant tendre à l'annulation - pour inconstitutionnalité - de normes de droit cantonal qui sont de portée générale ( art. 84 al. 1 OJ ), le recours de droit administratif ne peut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 que, d'ailleurs il n'a pas le pouvoir d'annuler - mais il doit examiner si une décision concrète viole le droit public fédéral. Or, dans le cas particulier, l'Administration fédérale des contributions a décidé, de manière abstraite, que la recourante ne peut pas être reconnue comme un agent de change étranger bénéficiant de l'exonération fiscale selon l' art. 19 LT . Il faut dès lors se demander si le Tribunal fédéral peut, par la voie du recours de droit administratif, être contraint de se prononcer sur cette question théorique, indépendamment de toute taxation concrète: dans une affaire semblable, le Tribunal fédéral l'a déjà admis en mars 1982 ( ATF 108 Ib 19 ss). En effet, l' art. 5 PA considère comme des décisions (susceptibles de recours administratif ou de recours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ou l'étendue de droits ou d'obligations, de sorte que des conclusions en constatation de droit sont admissibles dans un tel recours ( ATF 100 Ib 108 consid. 3, ATF 99 Ib 166 ). BGE 110 Ib 213 S. 216 D'ailleurs, cette possibilité est prévue expressément dans les lois fiscales fédérales et notamment à l' art. 38 LT ( ATF 108 Ib 22 /23 consid. 1c). b) D'autre part, on doit aussi se demander si les autorités suisses peuvent être obligées de reconnaître comme une entité juridique jouissant de la personnalité morale - et, par voie de conséquence, de la légitimation nécessaire pour former un recours de droit administratif - une société anonyme créée dans le but avoué de permettre à une société financière italienne d'éluder la réglementation italienne des changes et dont le siège statutaire est fixé de manière purement fictive à George Town (capitale des îles Caïmans, situées dans les Antilles), c'est-à-dire en un lieu où l'on admet - et favorise même - la domiciliation purement fictive de "sociétés" qui n'y ont aucune activité quelconque. On peut avoir à ce sujet des doutes sérieux (voir dans ce sens, en ce qui concerne les établissements de droit liechtensteinois, les arrêts publiés aux ATF 108 II 398 ss, ATF 106 Ib 148 consid. 2b et ATF 105 Ib 361 consid. 7a; et, en ce qui concerne les sociétés panaméennes, les deux arrêts publiés aux ATF 108 II 125 consid. 2 et ATF 76 I 159 ). Toutefois, dans le cas particulier, il faut bien reconnaître que ces doutes ne suffisent pas pour déclarer le présent recours irrecevable faute de légitimation active de la recourante. Bien que la Suisse n'ait pas (encore) ratifié la Convention de La Haye du 1er juin 1956 concernant la reconnaissance de la personnalité juridique des sociétés, associations et fondations étrangères, la doctrine suisse se déclare, en matière de droit international des sociétés, de plus en plus favorable à la théorie anglo-saxonne de l'incorporation que cette convention consacre à son art. 1 sous réserve d'une exception prévue à l'art. 2 (voir notamment PETER FORSTMOSER, Schweizerisches Aktienrecht, I, 1, p. 115; FRANK VISCHER, Droit international privé, Traité de droit privé suisse, I, 4, p. 66/67; JEAN-FRANÇOIS PERRIN, La reconnaissance des sociétés étrangères et ses effets, thèse Genève 1969, p. 93/94). Cette doctrine enseigne donc que le juge devrait, en principe, reconnaître de plein droit la personnalité acquise par une société en vertu de la loi de l'Etat où les formalités d'enregistrement et de publicité ont été remplies et où se trouve le siège statutaire (art. 1 de la Convention), sauf si la loi de l'Etat où la reconnaissance de la personnalité est revendiquée prend en considération le siège réel (art. 2) ou s'il y a abus de droit (voir PETER FORSTMOSER, op.cit., p. 115). BGE 110 Ib 213 S. 217 La jurisprudence s'est prononcée à peu près dans le même sens. En principe, le Tribunal fédéral rattache le statut personnel de la personne morale au droit de l'Etat du siège statutaire et de l'incorporation, mais il maintient la réserve du siège fictif telle qu'elle a été posée dans l'arrêt Vernet et consorts de 1950 ( ATF 76 I 159 ). Il y a donc présomption que la personnalité morale acquise conformément aux règles du droit de l'Etat où la personne s'est constituée et où elle a son siège social est reconnue en droit suisse, mais cette présomption peut être renversée en cas de siège fictif. Or tel est le cas lorsque le siège est sans rapport avec la réalité des choses et qu'il a été choisi uniquement pour échapper aux lois du pays où la personne morale, en fait, exerce son activité ( ATF 108 II 402 consid. 3c) ou, plus exactement, lorsque la personne a en Suisse son activité et le centre de son administration et que le siège statutaire a été choisi à l'étranger pour échapper à la loi suisse. Or, dans le cas particulier, la société recourante n'a en fait aucune activité en Suisse et n'a pas été créée à l'étranger pour échapper à la loi suisse. Même si le siège statutaire à George Town est purement fictif, il ne paraît pas possible de déroger à la théorie de l'incorporation et de ne pas reconnaître la personnalité morale qu'elle a acquise selon le droit en vigueur aux îles Caïmans. En outre, il est douteux que le Tribunal fédéral puisse, en l'espèce, faire application du principe énoncé à l' art. 52 al. 3 CC , car il n'est pas certain que le juge suisse doive considérer comme illicite ou immoral le but dans lequel la société recourante a été créée (cf. ATF 108 II 403 /4). En soi, le fait de fonder une société pour permettre à une société italienne d'éluder la réglementation italienne des changes n'est pas nécessairement jugé illicite ou immoral en Suisse. Au demeurant, il n'est pas indispensable de trancher définitivement cette question de légitimation de la recourante et de recevabilité du recours car, pour autant qu'il soit recevable, le recours de la société L. apparaît mal fondé.</w:t>
      </w:r>
    </w:p>
    <w:p>
      <w:r>
        <w:rPr>
          <w:b/>
        </w:rPr>
        <w:t>E. 3</w:t>
      </w:r>
    </w:p>
    <w:p>
      <w:r>
        <w:t>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BGE 110 Ib 213 S. 218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ou des agents de change; dans ce cas, au moins une moitié du droit est due ( art. 19 al. 1 LT ; au sujet des opérations "étranger-étranger", voir Archives, vol. 47, p. 259 ss). En l'espèce, la seule question qui se pose est donc de savoir si la société L. peut réellement prétendre être reconnue comme un agent de change étranger ou si, au contraire, l'Administration fédérale des contributions a raison de lui refuser cette reconnaissance et, par voie de conséquence, de ne pas la mettre au bénéfice de l'exonération exceptionnelle prévue à l' art. 19 LT .</w:t>
      </w:r>
    </w:p>
    <w:p>
      <w:r>
        <w:rPr>
          <w:b/>
        </w:rPr>
        <w:t>E. 4</w:t>
      </w:r>
    </w:p>
    <w:p>
      <w:r>
        <w:t>Ni la loi, ni l'ordonnance du 3 décembre 1973 sur les droits de timbre (OT; RS 641.101) ne définissent les notions de banque étrangère ou d'agent de change étranger selon l' art. 19 LT . Comme il l'a fait pour la banque étrangère ( ATF 108 Ib 24 consid. 4), le Tribunal fédéral doit donc rechercher lui-même les éléments constitutifs de la notion d'agent de change. a) Le 31 janvier 1974, l'Administration fédérale des contributions a établi des directives relatives au droit de timbre de négociation, précisant que "l'agent de change étranger est celui qui dans son pays est au bénéfice d'une concession lui permettant d'avoir accès à la bourse pour y traiter des opérations de titres" (ch. 47). Or, en l'espèce, il n'est guère contestable - ni même contesté - que la recourante ne remplit pas ces conditions, d'abord parce que, dans son pays (que ce soit aux îles Caïmans où elle est enregistrée mais n'a qu'un siège statutaire purement fictif ou à Guernesey où elle se fait adresser son courrier), il n'y a pas de bourse de titres à laquelle elle pourrait avoir accès et, ensuite BGE 110 Ib 213 S. 219 et surtout, parce que, de toute façon, la société L. ne prétend pas avoir elle-même accès à une quelconque bourse de titres dans le monde; c'est une autre société, L. SpA à Milan, qui semble avoir accès aux Bourses de Milan et de Chicago. A première vue, cette définition un peu formelle de l'agent de change étranger n'est pas déraisonnable: elle a pour elle l'avantage d'être relativement simple et de se fonder sur des faits précis facilement contrôlables; de plus, elle correspond dans une certaine mesure au statut d'agent de change (en allemand: Makler, en anglais: broker) dans la plupart des pays. En effet, d'une manière générale, il est admis que l'agent de change ne peut pas exercer le métier de courtier ou d'intermédiaire en titres s'il n'est pas au bénéfice d'une concession ou d'une autorisation de police ou s'il n'est pas membre agréé d'une association de bourse. Ainsi, par exemple en France, l'agent de change est un officier ministériel qui jouit d'un privilège (voir Répertoire DALLOZ de droit commercial français, tome I, "Agent de change", p. 73 ss, n. 1, 6, 11 et 68 ss); de même, dans les cantons suisses, l'agent de change doit avoir une autorisation et se trouve sous la surveillance de l'Etat; dans les pays anglo-saxons, pour être reconnu "broker", il faut avoir été admis comme membre de l'association de la bourse (voir HANDBUCH DES GELD-, BANK- UND BÖRSENWESENS DER SCHWEIZ, 3e éd. 1977 p. 156). Mais on peut tout de même se demander si, comme pour la notion de banque étrangère ( ATF 108 Ib 25 consid. 4a), l'Administration fédérale des contributions - dont les directives ne lient pas le Tribunal fédéral ( ATF 108 Ib 25 consid. 4a, ATF 104 Ib 337 consid. 1c) - n'a pas défini la notion d'agent de change d'une manière un peu trop formelle: il ne faut pas oublier que le métier de courtier ou d'intermédiaire de titres peut aussi s'exercer en dehors de la bourse et parfois même sans que l'agent de change ait besoin d'une concession ou d'une autorisation; dans la pratique, l'autorité de taxation l'a d'ailleurs admis. b) Dans son message du 25 octobre 1972, le Conseil fédéral a dit que "l' art. 19 LT exonère expressément du droit (de timbre de négociation) le commerçant de titres étrangers à des conditions strictement définies" (voir FF 1972 II p. 1301). C'est pourquoi, dans un arrêt de 1977, le Tribunal fédéral a déjà eu l'occasion de juger que la réduction du droit, prévue pour les opérations conclues à l'étranger, n'est accordée que si la partie contractante est un commerçant étranger de titres, c'est-à-dire une BGE 110 Ib 213 S. 220 banque ou un agent de change (Archives, vol. 47 p. 264 consid. 4b). Ainsi, dans l'application ou l'interprétation de l' art. 19 al. 1 LT , il faut tenir compte du fait que le législateur fiscal entend exonérer les banques étrangères et les agents de change étrangers dans la mesure seulement où ils exercent - effectivement - l'activité propre d'un commerçant de titres, telle qu'elle est définie à l' art. 13 al. 3 lettre a LT . Cette activité consiste à exécuter professionnellement, pour son propre compte ou pour celui de ses clients, des achats et des ventes de titres: c'est précisément ce qui caractérise - matériellement - l'activité professionnelle de l'agent de change ( ATF 108 Ib 25 et 26 consid. 4b). c) Selon le ch. 3 lettres d et e du "Memorandum of Association (...) of L.", la société recourante a notamment pour but d'agir comme "broker" - ou intermédiaire - dans le commerce de toutes sortes de biens, soit de titres ou d'immeubles (lettre d) et d'exercer une activité de "broker" ou de conseiller pour tous les genres de titres, publics ou privés, italiens ou étrangers (lettre e). Il semble aussi que la Banque d'Angleterre ait accepté que la recourante - en tant que société non résidente - puisse agir dans le domaine des euro-obligations. D'autre part, la recourante a produit dans la présente procédure des bordereaux, établis par des banques ou des agents de change et adressés à "L., St Peter, Port Guernesey, Channel Island", relatifs à des ventes ou des achats d'actions ou d'obligations, comme aussi des documents "Eurobond Confirmation", relatifs à la vente d'euro-obligations, établis à l'en-tête de la recourante mais "for and on behalf of R. B. (Guernesey) Limited as Bankers for L." Il apparaît ainsi clairement que la prétendue activité de la recourante dans le commerce de titres n'existe que sur le papier; elle n'est que fictive. En réalité, la société L. n'a, nulle part - ni aux îles Caïmans où son enregistrement est fictif, ni à Guernesey, ni même à Milan - ses propres bureaux, ni aucun personnel à son service. Elle n'exerce elle-même aucune activité propre: ce sont d'autres sociétés - soit une banque à Guernesey ou la société L. SpA à Milan, à Rome ou à Atlanta - qui exécutent tout le travail de courtage ou d'administration et l'on ne peut même pas dire que ce travail serait effectué pour le compte et dans l'intérêt de la recourante; il est à cet égard significatif que la société L. n'a même pas produit un quelconque compte d'exploitation qui eût démontré l'existence d'une certaine activité propre. De plus, elle BGE 110 Ib 213 S. 221 n'est elle-même agréée auprès d'aucune bourse et n'est soumise à aucune surveillance officielle. Il est vrai que, dans son mémoire, la recourante insiste sur le fait que le collaborateur de la banque R. B. à Guernesey et deux directeurs de la société L. SpA à Milan font partie de son conseil d'administration. Mais cela n'est pas décisif car il ressort des documents produits qu'en réalité le premier agit comme collaborateur de la banque chargée d'établir les décomptes des opérations de vente et d'achat de titres; quant aux deux autres, ils agissent comme directeurs de la société mère à Milan; d'ailleurs, il convient de rappeler que c'est précisément à ce titre - et non pas comme administrateur de la société L. - que l'un de ces directeurs a été admis comme membre de la Bourse de Chicago (Midwest Stock Exchange). d) Dans ces conditions, il ne saurait être question de reconnaître à la recourante - qui, somme toute, n'existe que sur le papier - le statut privilégié d'agent de change étranger selon l' art. 19 LT . Une société qui n'a aucun personnel à son service et n'a aucun bureau, qui ne peut, par voie de conséquence, exercer aucune activité par elle-même, ne peut pas prétendre être un commerçant de titres, c'est-à-dire constituer une entreprise ou une exploitation (Betrieb) qui s'occupe professionnellement de l'achat et de la vente de titres (au sens de l' art. 13 al. 3 lettre a LT ). Il est évident, en effet, que la notion de commerçant de titres ou d'agent de change suppose une certaine organisation et un personnel capable d'exercer une certaine activité professionnelle (voir dans ce sens l' art. 52 al. 3 ORC et ROBERT PATRY, Die Wesensmerkmale der Unternehmung, in Schw. Privatrecht vol. VIII p. 72 ss et PETER GAUCH, Der Zweigbetrieb im schweizerischen Zivilrecht, p. 2 ss). Or, en l'espèce, la société L. n'a pas ce minimum d'organisation propre. Ce sont des tiers qui agissent à sa place et, à cet égard, il convient de remarquer que la recourante ne peut pas se prévaloir du statut de "broker" que la société mère L. SpA à Milan pourrait avoir car, comme le Tribunal fédéral a dû le rappeler dans plusieurs arrêts récents, les différentes sociétés d'un groupe étant juridiquement distinctes les unes des autres, une filiale ne peut pas être assimilée à la société mère ( ATF 109 Ib 113 , 108 Ib 448, 37 consid. 4c). e) En définitive, le recours est mal fondé et il est inutile d'examiner encore si la recourante est censée agir "pour le compte d'un cercle de personnes d'une certaine étendue" ou "seulement BGE 110 Ib 213 S. 222 pour des personnes qui lui sont proches" dès lors qu'elle n'a pas de bureau ni de personnel et qu'elle n'exerce pas elle-même une activité. Ainsi, dans tous les cas où la société L. est formellement l'une des parties contractantes dans une opération de transfert de titres négociée avec ou par l'intermédiaire d'un commerçant suisse de titres, le droit de timbre de négociation est dû en vertu de l' art. 19 LT : la recourante ne peut pas bénéficier de l'exonération prévue, à titre exceptionnel, en faveur des banques étrangères et des agents de change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