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141 vom 1. Januar 1984</w:t>
      </w:r>
    </w:p>
    <w:p>
      <w:r>
        <w:t>Bundesgericht (BGE), 1984-01-01, DE</w:t>
      </w:r>
    </w:p>
    <w:p>
      <w:r>
        <w:rPr>
          <w:b/>
        </w:rPr>
        <w:t xml:space="preserve">Quelle: </w:t>
      </w:r>
      <w:r>
        <w:t>https://mcp.opencaselaw.ch/entscheid/bge_BGE_110_Ib_141</w:t>
      </w:r>
    </w:p>
    <w:p>
      <w:r>
        <w:t>FR: BGE BGE 110 Ib 141 du 1 janvier 1984</w:t>
      </w:r>
    </w:p>
    <w:p>
      <w:r>
        <w:t>IT: BGE BGE 110 Ib 141 del 1 gennaio 1984</w:t>
      </w:r>
    </w:p>
    <w:p>
      <w:pPr>
        <w:pStyle w:val="Heading2"/>
      </w:pPr>
      <w:r>
        <w:t>Regeste</w:t>
      </w:r>
    </w:p>
    <w:p>
      <w:r>
        <w:t>Regeste Art. 24 RPG; Ausnahmebewilligung. Der Neubau eines freistehenden Ferieneinfamilienhauses ausserhalb der Bauzonen als Ersatz für den Abbruch ehemals bewohnter Anbauten eines andern Gebäudes gilt nicht als Wiederaufbau i.S.v. Art. 24 Abs. 2 RPG (E. 3b) und kann mangels Standortgebundenheit auch nicht nach Art. 24 Abs. 1 RPG bewilligt werden (E. 3c).</w:t>
      </w:r>
    </w:p>
    <w:p>
      <w:r>
        <w:t>Regeste Art. 24 LAT; autorisation exceptionnelle. L'édification en dehors des zones à bâtir d'un pavillon de vacances, pour compenser la démolition d'annexes autrefois habitées d'un autre bâtiment, n'est pas considérée comme une reconstruction au sens de l'art. 24 al. 2 LAT (consid. 3b); son implantation n'étant pas imposée par sa destination, une telle construction ne peut pas non plus être autorisée sur la base de l'art. 24 al. 1 LAT (consid. 3c).</w:t>
      </w:r>
    </w:p>
    <w:p>
      <w:r>
        <w:t>Regesto Art. 24 LPT; autorizzazione eccezionale. La costruzione fuori della zona edificabile di una casa di vacanza allo scopo di compensare la demolizione di annessi precedentemente abitati di un altro edificio non può essere considerata quale ricostruzione ai sensi dell'art. 24 cpv. 2 LPT (consid. 3b); tale costruzione non può essere autorizzata neppure in base all'art. 24 cpv. 2 LPT, dato che la sua destinazione non esige un'ubicazione fuori della zona edificabile (consid. 3c).</w:t>
      </w:r>
    </w:p>
    <w:p>
      <w:pPr>
        <w:pStyle w:val="Heading2"/>
      </w:pPr>
      <w:r>
        <w:t>Erwägungen</w:t>
      </w:r>
    </w:p>
    <w:p>
      <w:r>
        <w:rPr>
          <w:b/>
        </w:rPr>
        <w:t>E. 3</w:t>
      </w:r>
    </w:p>
    <w:p>
      <w:r>
        <w:t>Art. 22 Abs. 1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 erfordert (lit. a) und keine überwiegenden Interessen entgegenstehen (lit. b). Gemäss Art. 24 Abs. 2 RPG kann das kantonale Recht gestatten, Bauten und Anlagen zu erneuern, teilweise zu ändern oder wieder aufzubauen, wenn dies mit den wichtigen Anliegen der Raumplanung vereinbar ist. a) (Feststellung, dass der "Weidhof" trotz der Einwendungen der Beschwerdeführer nicht in einer Bauzone liegt.) BGE 110 Ib 141 S. 143 b) Die Beschwerdeführer sind indessen der Meinung, eine Baubewilligung hätte als Ausnahmebewilligung nach Art. 24 Abs. 2 RPG und der kantonalen Einführungsgesetzgebung erteilt werden müssen. Wie erwähnt kann das kantonale Recht gemäss Art. 24 Abs. 2 RPG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Das kantonale Recht kann nur bestimmen, ob und allenfalls inwieweit bauliche Massnahmen innerhalb des bundesrechtlich begrenzten Rahmens im Sinne von Art. 24 Abs. 2 RPG bewilligt werden dürfen. Mit dieser Regelung will das Bundesrecht den Kantonen ermöglichen, ihren besonderen Verhältnissen Rechnung zu tragen ( BGE 108 Ib 54 E. 3b, 361 E. 3a, je mit Hinweisen). Der projektierte Neubau eines Ferieneinfamilienhauses stellt weder eine Erneuerung, eine teilweise Änderung noch einen Wiederaufbau im Sinne von Art. 24 Abs. 2 RPG dar. Alle drei auf die Substanzerhaltung ausgerichteten Arten baulicher Massnahmen setzen voraus, dass ein Baukörper an einem bestimmten Standort schon besteht und dass seine Identität grundsätzlich gewahrt wird ( BGE 108 Ib 55 /56 E. 3c; 107 Ib 241 /242 E. 2b aa mit Hinweisen). Diese Voraussetzungen sind aber beim Neubau eines nach Ausmass, Erscheinungsform und Stil völlig verschiedenen Wohnhauses 35 m entfernt vom teilweise abzubrechenden Altbau nicht gegeben. Namentlich kann es sich hier nicht um einen Wiederaufbau handeln. Das projektierte Ferienhaus mag in einem gewissen Sinn als Ersatzbaute für verlorengehenden Wohnraum betrachtet werden. Indessen wird aus diesem Ersatzbau auch dann kein Wiederaufbau im Sinne von Art. 24 Abs. 2 RPG , wenn die Ersatzbaute das gesamte Sanierungsprojekt zu fördern vermöchte und im Volumen nicht einmal die Hälfte der vom Altbau abzubrechenden Anbauten ausmacht. Eine zu weitgehende Berücksichtigung zonenfremder Bauten widerspräche dem Zweck des Raumplanungsgesetzes. Liegt das Projekt eines Einfamilienhauses aber ausserhalb des bundesrechtlichen Rahmens von Art. 24 Abs. 2 RPG , so ist nicht mehr zu prüfen, ob und allenfalls inwieweit es nach kantonalem Recht bewilligt werden dürfte. Das Bauvorhaben kann schon nach BGE 110 Ib 141 S. 144 Art. 24 Abs. 2 RPG nicht bewilligt werden. Da sich dessen Unzulässigkeit bereits daraus ergibt, dass es weder eine Erneuerung, eine teilweise Änderung noch einen Wiederaufbau darstellt, so braucht nicht mehr geprüft zu werden, ob es mit den wichtigen Anliegen der Raumplanung vereinbar wäre. Eine bundesrechtskonforme Auslegung des Raumplanungsgesetzes dient der Verfassungsbestimmung von Art. 22 quater BV . Sie kann daher entgegen der Auffassung der Beschwerdeführer die in Art. 22ter BV gewährleistete Eigentumsgarantie nicht verletzen. Abgesehen davon wäre es dem Bundesgericht nach Art. 113 Abs. 3 BV verwehrt, das Bundesgesetz über die Raumplanung auf seine Vereinbarkeit mit der Bundesverfassung zu überprüfen. Bei dieser Sach- und Rechtslage ist keine Verletzung von Bundesrecht dargetan, weshalb die Beschwerde sowohl mit dem Haupt- als auch mit dem Eventualbegehren abzuweisen ist. c) Durfte den Beschwerdeführern keine Ausnahmebewilligung nach Art. 24 Abs. 2 RPG erteilt werden, so könnte es sich nur noch fragen, ob eine solche gemäss Art. 24 Abs. 1 RPG denkbar wäre. Der Regierungsrat hat diese Möglichkeit indessen mit Recht verneint, da das projektierte Ferienhaus offensichtlich nicht auf den vorgesehenen Standort ausserhalb des Baugebiets in der Landwirtschaftszone und im Landschaftsschutzgebiet angewiesen ist. Die Beschwerdeführer fechten diese Argumentation zu Recht nicht an; auch insoweit könnte von einer Bundesrechtsverletzung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