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134 vom 1. Januar 1984</w:t>
      </w:r>
    </w:p>
    <w:p>
      <w:r>
        <w:t>Bundesgericht (BGE), 1984-01-01, DE</w:t>
      </w:r>
    </w:p>
    <w:p>
      <w:r>
        <w:rPr>
          <w:b/>
        </w:rPr>
        <w:t xml:space="preserve">Quelle: </w:t>
      </w:r>
      <w:r>
        <w:t>https://mcp.opencaselaw.ch/entscheid/bge_BGE_110_Ia_134</w:t>
      </w:r>
    </w:p>
    <w:p>
      <w:r>
        <w:t>FR: BGE BGE 110 Ia 134 du 1 janvier 1984</w:t>
      </w:r>
    </w:p>
    <w:p>
      <w:r>
        <w:t>IT: BGE BGE 110 Ia 134 del 1 gennaio 1984</w:t>
      </w:r>
    </w:p>
    <w:p>
      <w:pPr>
        <w:pStyle w:val="Heading2"/>
      </w:pPr>
      <w:r>
        <w:t>Regeste</w:t>
      </w:r>
    </w:p>
    <w:p>
      <w:r>
        <w:t>Regeste Art. 87 OG; Endentscheid. Der Einleitungsbeschluss, mit welchem nach dem Perimetergesetz des Kantons Graubünden das Perimetergebiet abgegrenzt wird, ist als Endentscheid im Sinne von Art. 87 OG zu betrachten.</w:t>
      </w:r>
    </w:p>
    <w:p>
      <w:r>
        <w:t>Regeste Art. 87 OJ; décision finale. La décision prise d'entrée de cause, conformément à la loi grisonne sur les périmètres (Perimetergesetz), aux fins de délimiter le territoire compris dans le périmètre (de plus-value) doit être considérée comme une décision finale au sens de l'art. 87 OJ.</w:t>
      </w:r>
    </w:p>
    <w:p>
      <w:r>
        <w:t>Regesto Art. 87 OG; decisione finale. Il decreto d'inizio, con cui è fissato il territorio del comprensorio conformemente alla legge sui comprensori del Cantone dei Grigioni, va considerato quale decisione finale ai sensi dell'art. 87 OG.</w:t>
      </w:r>
    </w:p>
    <w:p>
      <w:pPr>
        <w:pStyle w:val="Heading2"/>
      </w:pPr>
      <w:r>
        <w:t>Erwägungen</w:t>
      </w:r>
    </w:p>
    <w:p>
      <w:r>
        <w:rPr>
          <w:b/>
        </w:rPr>
        <w:t>E. 1</w:t>
      </w:r>
    </w:p>
    <w:p>
      <w:r>
        <w:t>Die Beschwerdeführer berufen sich ausschliesslich auf Art. 4 BV . Staatsrechtliche Beschwerden, mit denen eine Verletzung dieser Verfassungsvorschrift gerügt wird, sind gemäss Art. 87 OG erst gegen letztinstanzliche Endentscheide zulässig, gegen letztinstanzliche Zwischenentscheide nur, wenn sie für den Betroffenen einen nicht wiedergutzumachenden Nachteil zur Folge haben. Das angefochtene Urteil des Verwaltungsgerichts stellt einen letztinstanzlichen kantonalen Entscheid dar (Art. 13 Abs. 2 des Perimetergesetzes des Kantons Graubünden vom 28. September 1980, PG). Es fragt sich, ob es auch ein Endentscheid im Sinne von Art. 87 OG ist. Als ein solcher wird jeder Entscheid betrachtet, der ein Verfahren - vorbehältlich der Weiterziehung an eine höhere Instanz - abschliesst, sei es durch einen Sachentscheid, sei es aus prozessualen Gründen ( BGE 106 Ia 233 E. 3a mit Hinweisen). BGE 110 Ia 134 S. 135 Nach dem Perimetergesetz des Kantons Graubünden zerfällt das Perimeterverfahren in zwei Abschnitte: es wird zunächst in einem Einleitungsbeschluss das Perimetergebiet abgegrenzt ( Art. 13 Abs. 1 PG ), und in der Folge werden durch einen Perimeterentscheid die einzelnen Beiträge festgesetzt ( Art. 15 Ziff. 5 PG ). Gegen den Einleitungsbeschluss ist der Rekurs an das Verwaltungsgericht zulässig, mit welchem Rechtsmittel sich die betroffenen Grundeigentümer "gegen die Anwendung des Perimeterverfahrens an sich und die Abgrenzung des Perimetergebietes" zur Wehr setzen können ( Art. 13 Abs. 2 PG ). Der rechtskräftige Einleitungsbeschluss kann, wie Art. 13 Abs. 3 PG bestimmt, "bezüglich Durchführung des Perimeterverfahrens an sich und Abgrenzung des Perimetergebietes mit dem Perimeterentscheid nicht mehr angefochten werden". Diese Regelung zeigt, dass die Abgrenzung des Perimetergebietes ein in sich geschlossenes selbständiges Verfahren bildet, dessen Ergebnis im nächsten Abschnitt, d.h. bei der Festsetzung der Beiträge, nicht mehr in Frage gestellt werden kann. Ist aber ein Verfahren derart verselbständigt, so drängt es sich - ähnlich wie bei der provisorischen Rechtsöffnung (vgl. BGE 94 I 372 ) - auf, den Entscheid der kantonalen oder kommunalen Behörde, der ein solches Verfahren abschliesst (hier: den Einleitungsbeschluss der Gemeinde), als Endentscheid im Sinne von Art. 87 OG zu betrachten. Das Urteil des Verwaltungsgerichts erfüllt somit die Voraussetzungen dieser Vorschrift und kann daher mit staatsrechtlicher Beschwerde gestützt auf Art. 4 BV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