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117 vom 1. Januar 1984</w:t>
      </w:r>
    </w:p>
    <w:p>
      <w:r>
        <w:t>Bundesgericht (BGE), 1984-01-01, DE</w:t>
      </w:r>
    </w:p>
    <w:p>
      <w:r>
        <w:rPr>
          <w:b/>
        </w:rPr>
        <w:t xml:space="preserve">Quelle: </w:t>
      </w:r>
      <w:r>
        <w:t>https://mcp.opencaselaw.ch/entscheid/bge_BGE_110_Ia_117</w:t>
      </w:r>
    </w:p>
    <w:p>
      <w:r>
        <w:t>FR: BGE BGE 110 Ia 117 du 1 janvier 1984</w:t>
      </w:r>
    </w:p>
    <w:p>
      <w:r>
        <w:t>IT: BGE BGE 110 Ia 117 del 1 gennaio 1984</w:t>
      </w:r>
    </w:p>
    <w:p>
      <w:pPr>
        <w:pStyle w:val="Heading2"/>
      </w:pPr>
      <w:r>
        <w:t>Regeste</w:t>
      </w:r>
    </w:p>
    <w:p>
      <w:r>
        <w:t>Regeste Entmündigung, psychiatrische Begutachtung, kantonales Rechtsmittelverfahren, persönliche Freiheit. 1. Art. 420 Abs. 2 ZGB, wonach gegen die Beschlüsse der Vormundschaftsbehörde bei der Aufsichtsbehörde Beschwerde geführt werden kann, kommt im Entmündigungsverfahren nicht zur Anwendung, selbst wenn ein Kanton die Entmündigung den vormundschaftlichen Behörden überträgt (E. 2). 2. Die Annahme, dass im Kanton Zug die Anordnung einer psychiatrischen Begutachtung im Entmündigungsverfahren nicht selbständig mit Beschwerde an den Regierungsrat angefochten werden kann, ist nicht willkürlich (E. 3). 3. Es ist auch nicht willkürlich, wenn im Kanton Zug die Legitimation des Gemeinderats als Vormundschaftsbehörde zur Verwaltungsgerichtsbeschwerde in Vormundschaftssachen bejaht wird (E. 4). 4. Die Anordnung einer psychiatrischen Begutachtung im Entmündigungsverfahren gegen den Willen des Interdizenden verstösst nicht gegen die persönliche Freiheit, sofern ein hinreichender Anlass für die Eröffnung eines solchen Verfahrens bestand (E. 5).</w:t>
      </w:r>
    </w:p>
    <w:p>
      <w:r>
        <w:t>Regeste Interdiction, expertise psychiatrique, procédure cantonale de recours, liberté personnelle. 1. L'art. 420 al. 2 CC, selon lequel les décisions de l'autorité tutélaire peuvent être déférées par voie de recours à l'autorité de surveillance, n'est pas applicable à la procédure d'interdiction, même si un canton délègue la compétence de prononcer l'interdiction aux autorités de tutelle (consid. 2). 2. Il n'est pas arbitraire de refuser d'admettre que, dans le canton de Zoug, la décision portant sur la mise en oeuvre d'une expertise psychiatrique dans le cadre d'une procédure d'interdiction puisse être déférée, au moyen d'un recours indépendant, devant le Conseil d'Etat (consid. 3). 3. Il n'est pas non plus arbitraire de reconnaître, dans le canton de Zoug, au Conseil municipal en tant qu'autorité tutélaire la qualité pour recourir, par la voie du recours de droit administratif, dans les affaires de tutelle (consid. 4). 4. La décision portant sur la mise en oeuvre d'une expertise psychiatrique dans le cadre d'une procédure d'interdiction contre le gré de la personne à interdire ne viole pas la liberté personnelle, dans la mesure où il existait un motif suffisant pour l'ouverture d'une telle procédure (consid. 5).</w:t>
      </w:r>
    </w:p>
    <w:p>
      <w:r>
        <w:t>Regesto Interdizione, perizia psichiatrica, procedura cantonale di ricorso, libertà personale. 1. L'art. 420 cpv. 2 CC, secondo cui contro le decisioni dell'autorità tutoria è dato ricorso all'autorità di vigilanza, non è applicabile alla procedura d'interdizione, anche se un Cantone attribuisce alle autorità tutorie la competenza di pronunciare l'interdizione (consid. 2). 2. Non è arbitrario rifiutare d'ammettere che, nel Cantone di Zugo, la decisione con cui è ordinata una perizia psichiatrica nel quadro di una procedura d'interdizione sia impugnabile a titolo indipendente dinanzi al Consiglio di Stato (consid. 3). 3. Neppure è arbitrario riconoscere, nel Cantone di Zugo, all'esecutivo comunale, quale autorità tutoria, la legittimazione di proporre ricorso di diritto amministrativo nei procedimenti in materia di tutela (consid. 4). 4. La decisione con cui è ordinata una perizia psichiatrica nel quadro di una procedura d'interdizione, contro la volontà dell'interdicendo, non viola la libertà personale in quanto esistesse un motivo sufficiente per aprire tale procedura (consid. 5).</w:t>
      </w:r>
    </w:p>
    <w:p>
      <w:pPr>
        <w:pStyle w:val="Heading2"/>
      </w:pPr>
      <w:r>
        <w:t>Erwägungen</w:t>
      </w:r>
    </w:p>
    <w:p>
      <w:r>
        <w:rPr>
          <w:b/>
        </w:rPr>
        <w:t>E. 1</w:t>
      </w:r>
    </w:p>
    <w:p>
      <w:r>
        <w:t>Nach § 48 Abs. 1 EG ZGB ZG hat die Vormundschaftsbehörde, wenn ein Bevormundungsfall nach Art. 369 oder 370 ZGB eintritt, vorerst gemäss Art. 374 ZGB vorzugehen und die weiteren Erhebungen zu machen. Nach Abschluss der Untersuchung entscheidet die Vormundschaftsbehörde über die Entmündigung und teilt den Entscheid dem Betroffenen und dem Regierungsrat mit (§ 48 Abs. 3 EG ZGB). Dieser kann nach § 49 Abs. 1 EG ZGB einen Entmündigungsentscheid auf Beschwerde hin oder von Amtes wegen aufheben. Nach Auffassung des Verwaltungsgerichts beschränkt sich die Zuständigkeit des Regierungsrates im Sinne dieser Bestimmung auf den das Entmündigungsverfahren abschliessenden Entscheid. Ein solcher Entscheid liege jedoch nicht vor. Der Regierungsrat habe vielmehr während des Verfahrens in die Abklärungen der Vormundschaftsbehörde eingegriffen. Im Rahmen ihres allgemeinen Aufsichtsrechts schreite die Aufsichtsbehörde aber nur ein, wenn die zuständige Behörde willkürlich handle oder die pflichtgemässe Sorgfalt verletze. Ein solcher Vorwurf könne der Vormundschaftsbehörde nicht gemacht werden, wenn sie im Rahmen des Entmündigungsverfahrens zunächst den ärztlichen Bericht einholte. Der Regierungsrat habe daher keinen Anlass gehabt, aufsichtsrechtlich in das laufende Verfahren einzugreifen.</w:t>
      </w:r>
    </w:p>
    <w:p>
      <w:r>
        <w:rPr>
          <w:b/>
        </w:rPr>
        <w:t>E. 2</w:t>
      </w:r>
    </w:p>
    <w:p>
      <w:r>
        <w:t>Die Beschwerdeführerin macht zunächst geltend, das Verwaltungsgericht habe mit seiner Auslegung der §§ 48 und 49 EG ZGB ZG bundesrechtliche Vorschriften über die Abgrenzung der sachlichen Zuständigkeit der Behörden verletzt, was mit staatsrechtlicher Beschwerde im Sinne von Art. 84 lit. d OG gerügt werden könne. Nach Art. 420 Abs. 2 ZGB könne nämlich nicht nur gegen verfahrensabschliessende Entscheide, sondern gegen sämtliche Beschlüsse der Vormundschaftsbehörde bei der Aufsichtsbehörde Beschwerde geführt werden. Diese Bestimmung BGE 110 Ia 117 S. 120 kommt indessen im Entmündigungsverfahren gar nicht zur Anwendung (SCHNYDER/MURER, N. 193 zu Art. 373 ZGB ). Art. 373 Abs. 1 ZGB überlässt die Regelung des Entmündigungsverfahrens den Kantonen. Insbesondere sind diese in der Ausgestaltung des Instanzenzugs frei, und zwar gilt dies auch dann, wenn ein Kanton den Entscheid über die Entmündigung den vormundschaftlichen Behörden überträgt ( BGE 85 II 282 /283, BGE 82 II 207 /208; SCHNYDER/MURER, N. 163 ff. zu Art. 373 ZGB ). Es fehlt daher zum vornherein an einer bundesrechtlichen Zuständigkeitsvorschrift, die das Verwaltungsgericht verletzt haben könnte, weshalb in diesem Punkt auf die Beschwerde nicht einzutreten ist.</w:t>
      </w:r>
    </w:p>
    <w:p>
      <w:r>
        <w:rPr>
          <w:b/>
        </w:rPr>
        <w:t>E. 3</w:t>
      </w:r>
    </w:p>
    <w:p>
      <w:r>
        <w:t>Das Bundesgericht kann somit nur prüfen, ob das Verwaltungsgericht die Zuständigkeitsvorschriften des kantonalen Rechts in willkürlicher Weise angewandt habe. Die - übrigens nicht näher begründete - Rüge der Verletzung der Garantie des verfassungsmässigen Richters hat daneben keine selbständige Bedeutung, da das Bundesgericht das kantonale Recht in diesem Zusammenhang ohnehin nur auf Willkür überprüfen kann ( BGE 107 Ia 47 ). Willkür kann dem Verwaltungsgericht indessen nicht zur Last gelegt werden, wenn es die Beschwerde gegen den Beschluss des Stadtrats ausschloss. Wenn der Regierungsrat gemäss § 49 Abs. 1 EG ZGB ZG von Amtes wegen, d.h. unabhängig von einer entsprechenden Beschwerde des Betroffenen, einen Entmündigungsentscheid überprüfen kann, so folgt daraus keineswegs zwingend, dass er auch befugt sei, auf Beschwerde hin in das vor der Vormundschaftsbehörde hängige Verfahren einzugreifen. Inwiefern das Verwaltungsgericht gegen eine diesbezüglich eindeutige und klare kantonale Zuständigkeitsregel verstossen haben soll, wird von der Beschwerdeführerin nicht näher dargetan und ist auch nicht ersichtlich. Die Auffassung des Verwaltungsgerichts, dass prozessleitende Anordnungen im allgemeinen nicht gesondert mit Verwaltungsbeschwerde angefochten werden können, lässt sich mit sachlichen Gründen vertreten und ist daher nicht willkürlich. Auch hinsichtlich der eigenen Zuständigkeit ist das Verwaltungsgericht nicht in Willkür verfallen. Die Beschwerdeführerin übersieht auch hier, dass die Bestimmungen über die Beschwerde an die vormundschaftliche Aufsichtsbehörde im Entmündigungsverfahren nicht anwendbar sind. Es ist daher ohne Belang, ob es im Kanton Zug eine obere Aufsichtsbehörde im Sinne von Art. 361 Abs. 2 ZGB gibt oder nicht. BGE 110 Ia 117 S. 121</w:t>
      </w:r>
    </w:p>
    <w:p>
      <w:r>
        <w:rPr>
          <w:b/>
        </w:rPr>
        <w:t>E. 4</w:t>
      </w:r>
    </w:p>
    <w:p>
      <w:r>
        <w:t>Die Beschwerdeführerin rügt ferner, das Verwaltungsgericht habe die Legitimation des Stadtrats zur Verwaltungsgerichtsbeschwerde in willkürlicher Weise bejaht. Nach § 62 in Verbindung mit § 41 Abs. 2 des kantonalen Gesetzes über den Rechtsschutz in Verwaltungssachen vom 1. April 1976 steht das Beschwerderecht zur Wahrung öffentlicher Interessen unter anderem auch den Gemeinderäten zu. Entgegen der Auffassung der Beschwerdeführerin liegt auf der Hand, dass die Vormundschaftsbehörde im Entmündigungsverfahren öffentliche Interessen wahrzunehmen hat, ob sie nun als Antragstellerin oder als selbst verfügende Instanz auftritt. Die Entmündigung betrifft nicht nur den Betroffenen selber, sondern auch die Öffentlichkeit, namentlich den Rechtsverkehr. Aber auch dort, wo es um den Schutz des Betroffenen selber geht, handelt die zuständige Behörde offensichtlich nicht im eigenen, privaten Interesse, ist sie doch von Gesetzes wegen beauftragt, immer dann eine Entmündigung auszusprechen, wenn die gesetzlichen Voraussetzungen hiefür erfüllt sind. Die Vormundschaftsbehörde ist sodann auch daran interessiert, dass sie das Entmündigungsverfahren in der vom kantonalen Recht vorgeschriebenen Weise durchführen kann. Wenn die Beschwerdeführerin geltend macht, es fehle im vorliegenden Fall an einem öffentlichen Interesse an ihrer Entmündigung, so wird dies im Entscheid in der Sache selbst zu prüfen sein und hat mit der Beschwerdebefugnis des Stadtrats nichts zu tun. Die Legitimation eines Beteiligten zur Erhebung eines Rechtsmittels kann logischerweise nicht vom Ausgang des Verfahrens abhängig gemacht werden. Von Willkür kann daher auch in diesem Punkt nicht die Rede sein.</w:t>
      </w:r>
    </w:p>
    <w:p>
      <w:r>
        <w:rPr>
          <w:b/>
        </w:rPr>
        <w:t>E. 5</w:t>
      </w:r>
    </w:p>
    <w:p>
      <w:r>
        <w:t>Die Beschwerdeführerin macht schliesslich geltend, die angeordnete Begutachtung verstosse gegen das Recht der persönlichen Freiheit und sei zudem unverhältnismässig. Wie das Bundesgericht bereits in seinem nicht veröffentlichten Entscheid vom 13. Juli 1983 in Sachen der Beschwerdeführerin gegen C.X. dargelegt hat, greift die Verpflichtung, sich für eine psychiatrische Begutachtung zur Verfügung zu halten, zwar in die persönliche Freiheit ein, doch ist der Eingriff nicht als schwer zu betrachten, weshalb die Anwendung des kantonalen Rechts in diesem Zusammenhang nur auf Willkür überprüft werden kann ( BGE 107 Ia 140 E. 4a, mit Hinweisen). Nach Art. 374 Abs. 2 ZGB darf eine Entmündigung wegen Geisteskrankheit oder Geistesschwäche nur nach Einholung des Gutachtens von Sachverständigen erfolgen. Es versteht sich von selbst, dass die Begutachtung auch gegen den BGE 110 Ia 117 S. 122 Willen des Interdizenden zulässig sein muss. Unter Umständen kann sogar eine kurzfristige Anstaltseinweisung nötig sein, ohne dass darin eine Verletzung der persönlichen Freiheit erblickt werden könnte (vgl. BGE 106 Ia 37 zu Art. 406 ZGB ; SCHNYDER/MURER, N. 120 zu Art. 374 ZGB ). Entgegen der Auffassung der Beschwerdeführerin ergibt sich aus § 48 Abs. 1 EG ZGB ZG nicht zwingend, dass die Vormundschaftsbehörde das psychiatrische Gutachten erst einholen darf, nachdem sie die sozialen Voraussetzungen einer Entmündigung nach Art. 369 ZGB abgeklärt hat. Im Gegenteil durfte das Verwaltungsgericht ohne jede Willkür annehmen, es liege im Ermessen der Vormundschaftsbehörde, in welcher Reihenfolge sie die erforderlichen Abklärungen treffen wolle. Voraussetzung für eine Begutachtung ist freilich, dass überhaupt ein hinreichender Anlass für die Eröffnung eines Entmündigungsverfahrens bestand. Das durfte der Stadtrat jedoch aufgrund der Anzeige und vor allem aufgrund der Feststellungen des Präsidenten und des Sekretärs des Vormundschaftsamtes anlässlich des Besuchs bei der Beschwerdeführerin bejahen. Im übrigen verkennt die Beschwerdeführerin, dass es nicht nur um ihre wirtschaftlichen Verhältnisse geht, sondern insbesondere um ihre persönliche Fürsorgebedürftigkeit und die Fähigkeit der Besorgung der eigenen Angelegenheiten. Gerade darüber kann aber möglicherweise das Gutachten Auskunft geben, hat doch der Gutachter auch festzustellen, welches die Auswirkungen der allfälligen Geisteskrankheit bzw. Geistesschwäche auf die Lebensführung des Betroffenen sind (SCHNYDER/MURER, N. 112 zu Art. 374 ZGB ). Ist die Begutachtung bei der Entmündigung nach Art. 369 ZGB gesetzlich vorgeschrieben, so kann diese Massnahme auch nicht als unverhältnismässig bezeichnet werden. Was schliesslich die angebliche Gefährlichkeit der Begutachtung anbetrifft, durfte das Verwaltungsgericht ohne weiteres davon ausgehen, vom Kantonsarzt könne ein nach den Regeln der ärztlichen Kunst gebotenes, schonendes Vorgehen erwartet werden. Der allgemeine Hinweis der Beschwerdeführerin auf die Gefahren von erzwungenen medizinischen Massnahmen bei einer im neunten Lebensjahrzehnt stehenden Frau genügt nicht, um diese Annahme als willkürlich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