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99</w:t>
      </w:r>
    </w:p>
    <w:p>
      <w:r>
        <w:t>Bundesgericht (BGE), 1984-01-01, FR</w:t>
      </w:r>
    </w:p>
    <w:p>
      <w:r>
        <w:rPr>
          <w:b/>
        </w:rPr>
        <w:t xml:space="preserve">Quelle: </w:t>
      </w:r>
      <w:r>
        <w:t>https://mcp.opencaselaw.ch/entscheid/bge_BGE_110_IV_99</w:t>
      </w:r>
    </w:p>
    <w:p>
      <w:r>
        <w:t>FR: ATF 110 IV 99</w:t>
      </w:r>
    </w:p>
    <w:p>
      <w:r>
        <w:t>IT: DTF 110 IV 99</w:t>
      </w:r>
    </w:p>
    <w:p>
      <w:pPr>
        <w:pStyle w:val="Heading2"/>
      </w:pPr>
      <w:r>
        <w:t>Regeste</w:t>
      </w:r>
    </w:p>
    <w:p>
      <w:r>
        <w:t>Regeste Verkauf und Konsum von Betäubungsmitteln, Art. 19 und 19a BetmG. Der Täter, der Drogen verkauft und selber konsumiert hat, ist sowohl nach Art. 19 als auch gemäss Art. 19a BetmG zu verurteilen. Beim Entscheid darüber, ob Ziff. 1 oder Ziff. 2 (schwerer Fall) von Art. 19 BetmG anwendbar ist, darf nur die vom Täter verkaufte, nicht auch die von ihm selber konsumierte Betäubungsmittelmenge berücksichtigt werden.</w:t>
      </w:r>
    </w:p>
    <w:p>
      <w:r>
        <w:t>Regeste Vente et consommation de drogue, art. 19 et 19a LStup. Lorsque l'auteur a vendu et consommé de la drogue, il doit être condamné sur la base des art. 19 et 19a LStup appliqués en concours. Les quantités qu'il a consommées personnellement ne sont pas prises en compte pour décider si la vente des stupéfiants doit être réprimée conformément à l'art. 19 ch. 1 ou 2 LStup.</w:t>
      </w:r>
    </w:p>
    <w:p>
      <w:r>
        <w:t>Regesto Vendita e consumo di stupefacenti, art. 19 e 19a LS. L'agente che abbia venduto e consumato stupefacenti dev'essere condannato in base agli art. 19 e 19a LS, applicati in concorso. I quantitativi da lui consumati personalmente non sono considerati per decidere se la vendita degli stupefacenti vada punita conformemente all'art. 19 n. 1 o all'art. 19 n. 2 LS.</w:t>
      </w:r>
    </w:p>
    <w:p>
      <w:pPr>
        <w:pStyle w:val="Heading2"/>
      </w:pPr>
      <w:r>
        <w:t>Erwägungen</w:t>
      </w:r>
    </w:p>
    <w:p>
      <w:r>
        <w:rPr>
          <w:b/>
        </w:rPr>
        <w:t>E. 1</w:t>
      </w:r>
    </w:p>
    <w:p>
      <w:r>
        <w:t>S. a été condamné le 25 octobre 1983 par le Tribunal du IIIe arrondissement pour le district d'Entremont à 24 mois d'emprisonnement sous déduction de 30 jours de détention préventive pour infraction à la LStup - acquisition d'héroïne (20 g environ) et de cocaïne (37-38 g) ainsi que vente de cocaïne (entre 13 et 14 g). Contestant l'application de l' art. 19 ch. 2 LStup , BGE 110 IV 99 S. 100 S. a fait appel auprès du Tribunal cantonal valaisan qui l'a débouté pour l'essentiel le 22 mars 1984. Il se pourvoit en nullité à la Cour de cassation du Tribunal fédéral en demandant à n'être reconnu coupable que d'infraction aux art. 19 ch. 1 et 19a LStup et à n'être condamné qu'à une peine réduite assortie du sursis.</w:t>
      </w:r>
    </w:p>
    <w:p>
      <w:r>
        <w:rPr>
          <w:b/>
        </w:rPr>
        <w:t>E. 2</w:t>
      </w:r>
    </w:p>
    <w:p>
      <w:r>
        <w:t>Selon la dernière jurisprudence ( ATF 109 IV 143 ), les 13 à 14 g de cocaïne vendus par le recourant n'étaient à eux seuls pas de nature à mettre en danger la santé d'un grand nombre de personnes. Si les autorités cantonales de première et de seconde instance ont fait application de l' art. 19 ch. 2 LStup , c'est qu'elles ont pris en considération les quantités acquises par le recourant pour sa propre consommation. Selon l'autorité cantonale, qui se réfère à l'arrêt publié aux ATF 102 IV 126 , on ne saurait déduire de l' art. 19a LStup que cette disposition s'applique à l'exclusion de l' art. 19 LStup aux infractions définies aux al. 1-7 du ch. 1 de cette dernière disposition du seul fait qu'elles ont été commises par un consommateur pour ses besoins personnels; il faudrait de surcroît que ces infractions n'aient d'autre but que d'assurer la consommation de l'auteur. Tel ne serait pas le cas ici puisque le recourant s'est procuré la drogue en cause tant pour son usage personnel que pour la revendre à des tiers et que rien dans le texte légal ne permet de faire une distinction entre la drogue revendue et celle qui est consommée pour établir la quantité sur laquelle porte l'infraction (cf. ATF 105 IV 74 ).</w:t>
      </w:r>
    </w:p>
    <w:p>
      <w:r>
        <w:rPr>
          <w:b/>
        </w:rPr>
        <w:t>E. 3</w:t>
      </w:r>
    </w:p>
    <w:p>
      <w:r>
        <w:t>Une telle argumentation ne résiste pas à l'examen, car elle repose sur une interprétation extensive, que rien ne justifie, de la jurisprudence citée. En effet, le premier des précédents cités ( ATF 102 IV 126 ) précise seulement que le bénéfice de l' art. 19a LStup est réservé à celui qui assure exclusivement sa propre consommation mais il n'écarte nullement l'application de cette disposition aux actes qui ont effectivement servi à la consommation personnelle de l'auteur même si celui-ci est condamné concurremment en application de l' art. 19 LStup . Quant au second précédent, s'il commande d'additionner l'ensemble des quantités de drogue sur lesquelles ont porté l'ensemble des infractions commises par l'auteur dans le cadre de l' art. 19 LStup , il ne prescrit pas qu'il faille prendre en compte les stupéfiants qu'il a consommés lui-même. En réalité, s'il est vrai que diverses violations de l' art. 19 LStup sont réprimées en dehors des règles sur le concours comme une seule infraction, jugée en application du chiffre premier ou second de la LStup, selon que la quantité globale de drogue en cause est BGE 110 IV 99 S. 101 ou non de nature à mettre en danger la santé de nombreuses personnes, on ne saurait procéder de même s'agissant de la consommation personnelle de l'auteur, que le législateur a expressément voulu réprimer moins sévèrement, comme un délit sui generis (cf. Message du 9 avril 1951, FF 1951 I, p. 870 ch. 4 dernier alinéa; ATF 95 IV 179 et Message du 9 mai 1973, FF 1973 I, p. 1321). En effet, le législateur a précisément voulu revenir sur la jurisprudence du Tribunal fédéral selon laquelle "un jeune homme qui accepte de fumer une cigarette de marihuana préparée par un camarade doit être puni pour acquisition sans droit d'un stupéfiant". Cette volonté, qui doit être respectée, implique l'obligation de considérer les infractions réprimées aux art. 19 et 19a LStup comme des infractions bien distinctes qui, lorsqu'elles sont commises par la même personne, justifient l'application des règles sur le concours. Juger autrement conduirait, au mépris de la volonté du législateur, à condamner le consommateur, qui a cédé à un ami une part minime de la grande - au sens de la jurisprudence - quantité de drogue acquise pour son usage personnel, à une peine aggravée conformément à l' art. 19 ch. 2 LStup , au lieu de lui infliger la peine contraventionnelle qui est justifiée au regard des art. 19a et b LStup . Dès lors que les infractions réprimées aux art. 19 et 19a LStup sont distinctes et qu'elles appellent l'application de l' art. 68 CP , lorsqu'elles sont commises par la même personne, les quantités de stupéfiants sur lesquelles a porté la consommation personnelle de l'auteur ne sauraient être prises en considération pour qualifier au regard des chiffres premier et second de l' art. 19 LStup l'infraction commise en vendant de la drogue à des tiers. Le pourvoi doit en conséquence être admis et la cause renvoyée à l'autorité cantonale pour qu'elle statue à nouveau en application des art. 19 ch. 1 et 19a LStup en concours.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