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8</w:t>
      </w:r>
    </w:p>
    <w:p>
      <w:r>
        <w:t>Bundesgericht (BGE), 1984-01-01, DE</w:t>
      </w:r>
    </w:p>
    <w:p>
      <w:r>
        <w:rPr>
          <w:b/>
        </w:rPr>
        <w:t xml:space="preserve">Quelle: </w:t>
      </w:r>
      <w:r>
        <w:t>https://mcp.opencaselaw.ch/entscheid/bge_BGE_110_IV_8</w:t>
      </w:r>
    </w:p>
    <w:p>
      <w:r>
        <w:t>FR: ATF 110 IV 8</w:t>
      </w:r>
    </w:p>
    <w:p>
      <w:r>
        <w:t>IT: DTF 110 IV 8</w:t>
      </w:r>
    </w:p>
    <w:p>
      <w:pPr>
        <w:pStyle w:val="Heading2"/>
      </w:pPr>
      <w:r>
        <w:t>Regeste</w:t>
      </w:r>
    </w:p>
    <w:p>
      <w:r>
        <w:t>Regeste Art. 58 StGB; BetmG. Die als finanzielles Resultat aus Drogengeschäften erfolgte Gutschrift auf einem Bankkonto ist ein Vermögenswert, der einzuziehen ist.</w:t>
      </w:r>
    </w:p>
    <w:p>
      <w:r>
        <w:t>Regeste Art. 58 CP; LStup. Un avoir bancaire représentant le résultat financier d'un commerce de drogue est une valeur qui doit être confisquée.</w:t>
      </w:r>
    </w:p>
    <w:p>
      <w:r>
        <w:t>Regesto Art. 58 CP; LS. Un avere bancario che rappresenta il risultato finanziario di un commercio di stupefacenti costituisce un bene che dev'essere confiscato.</w:t>
      </w:r>
    </w:p>
    <w:p>
      <w:pPr>
        <w:pStyle w:val="Heading2"/>
      </w:pPr>
      <w:r>
        <w:t>Erwägungen</w:t>
      </w:r>
    </w:p>
    <w:p>
      <w:r>
        <w:rPr>
          <w:b/>
        </w:rPr>
        <w:t>E. 2</w:t>
      </w:r>
    </w:p>
    <w:p>
      <w:r>
        <w:t>c) Eine weitere Rüge richtet sich gegen die Einziehung des Betrages von US-Dollar 83'468.65. Hier enthält die Beschwerde - beiläufig im Kontext der Beschwerdebegründung - auch das ausdrückliche Begehren, es sei diese Einziehung (Ziff. 5 des Urteilsdispositivs) aufzuheben. Begründet wird der Antrag damit, dass eine Gutschrift auf einem Bankkonto kein Vermögensgegenstand sei, der gemäss Art. 58 StGB eingezogen werden könne. Aus solchen Gutschriften könnten höchstens Bereicherungen entstehen, die dann den Staat allenfalls zu einer Ersatzforderung gemäss Art. 58 Abs. 4 berechtigten. Bei den US-Dollar 83'468.65 handelt es sich, wie bereits oben BGE 110 IV 8 S. 9 dargelegt wurde, nach den tatsächlichen Feststellungen des Obergerichts um eine Bankgutschrift, die als Restzahlung aus einem Drogengeschäft zu behandeln ist. Gemäss Art. 58 Abs. 1 StGB verfügt der Richter die Einziehung von Gegenständen und Vermögenswerten, die durch eine strafbare Handlung hervorgebracht oder erlangt worden sind. Die als finanzielles Resultat eines Deliktes erfolgte Bankgutschrift stellt einen Vermögenswert dar, der gestützt auf die erwähnte Bestimmung einzuziehen ist. Die Einziehungsmöglichkeit beschränkt sich nicht auf Vermögensgegenstände, sondern erfasst richtigerweise alle deliktisch erlangten Vermögenswerte. Die Argumentation in der Beschwerdeschrift vermeidet es, den Wortlaut des Gesetzes zu erwähnen, und versucht fälschlicherweise den Eindruck zu erwecken, nur was Gegenstand sachenrechtlichen Eigentums sei, könne gemäss Art. 58 Abs. 1 StGB eingezogen werden; bei andern Vermögenswerten komme nur der Weg über die Ersatzforderung des Staates in Frage. Weder der Gesetzestext noch praktische Gründe lassen sich für eine solche restriktive Interpretation ins Feld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