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42</w:t>
      </w:r>
    </w:p>
    <w:p>
      <w:r>
        <w:t>Bundesgericht (BGE), 1984-01-01, DE</w:t>
      </w:r>
    </w:p>
    <w:p>
      <w:r>
        <w:rPr>
          <w:b/>
        </w:rPr>
        <w:t xml:space="preserve">Quelle: </w:t>
      </w:r>
      <w:r>
        <w:t>https://mcp.opencaselaw.ch/entscheid/bge_BGE_110_IV_42</w:t>
      </w:r>
    </w:p>
    <w:p>
      <w:r>
        <w:t>FR: ATF 110 IV 42</w:t>
      </w:r>
    </w:p>
    <w:p>
      <w:r>
        <w:t>IT: DTF 110 IV 42</w:t>
      </w:r>
    </w:p>
    <w:p>
      <w:pPr>
        <w:pStyle w:val="Heading2"/>
      </w:pPr>
      <w:r>
        <w:t>Regeste</w:t>
      </w:r>
    </w:p>
    <w:p>
      <w:r>
        <w:t>Regeste Art. 37 Abs. 2 SVG, Art. 18 Abs. 1 und 36 Abs. 3 VRV, Art. 100 Ziff. 2 SVG. 1. Pflichtwidriges Anhalten eines Strassendienstwagens auf der Fahrbahn einer Autostrasse (E. 2). 2. Adäquater Kausalzusammenhang zwischen diesem Verhalten und dem Tod eines Mitfahrers (E. 3). 3. Sorgfaltspflicht des Vorgesetzten (E. 4).</w:t>
      </w:r>
    </w:p>
    <w:p>
      <w:r>
        <w:t>Regeste Art. 37 al. 2; art. 18 al. 1 et 35 al. 3 OCR, art. 100 ch. 2 LCR. 1. Arrêt illicite d'un véhicule de service sur la chaussée d'une semi-autoroute (consid. 2). 2. Causalité adéquate entre cette manoeuvre et la mort d'un passager (consid. 3). 3. Devoir de prudence du chef de l'équipe utilisant le véhicule (consid. 4).</w:t>
      </w:r>
    </w:p>
    <w:p>
      <w:r>
        <w:t>Regesto Art. 37 cpv. 2 LCS, art. 18 cpv. 1 e 36 cpv. 3 ONCS, art. 100 n. 2 LCS. 1. Fermata illecita di un veicolo di servizio sulla carreggiata di una semiautostrada (consid. 2). 2. Causalità adeguata tra questa manovra e la morte di un passeggero (consid. 3). 3. Obbligo di prudenza del capoequipaggio (consid. 4).</w:t>
      </w:r>
    </w:p>
    <w:p>
      <w:pPr>
        <w:pStyle w:val="Heading2"/>
      </w:pPr>
      <w:r>
        <w:t>Erwägungen</w:t>
      </w:r>
    </w:p>
    <w:p>
      <w:r>
        <w:rPr>
          <w:b/>
        </w:rPr>
        <w:t>E. 2</w:t>
      </w:r>
    </w:p>
    <w:p>
      <w:r>
        <w:t>Die Vorinstanz legt A. zur Last, gegen Art. 37 Abs. 2 SVG , Art. 18 Abs. 1 und Art. 36 Abs. 3 VRV verstossen und damit den Unfall und den Tod des M. verursacht zu haben. a) Nach Art. 37 Abs. 2 SVG dürfen Fahrzeuge dort nicht angehalten oder aufgestellt werden, wo sie den Verkehr behindern oder gefährden könnten; womöglich sind sie auf Parkplätzen aufzustellen. Art. 18 Abs. 1 VRV präzisiert dies dahin, dass Fahrzeugführer nach Möglichkeit ausserhalb der Strasse zu halten haben. Sodann verpflichtet Art. 36 Abs. 3 VRV , der als Sonderregel für Autobahnen und Autostrassen erlassen wurde, den Fahrzeugführer, nur auf signalisierten Parkplätzen zu halten und für Nothalte Pannenstreifen und Abstellplätze für Pannenfahrzeuge zu benützen. Diese im vorliegenden Fall anwendbare Bestimmung macht klar, dass das Anhalten auf den Fahrbahnen solcher Strassen wegen der dort gefahrenen hohen Geschwindigkeiten äusserst gefährlich ist, weshalb nur auf von der Fahrbahn klar geschiedenen Parkplätzen und nur im Notfall auf den Pannenstreifen und entsprechenden Abstellplätzen gehalten werden darf. b) Nach dem angefochtenen Urteil weist die Autostrasse Biel-Lyss jedenfalls auf der Unfallstrecke keine solchen von der Fahrbahn getrennten Verkehrsflächen auf, auf welchen der Beschwerdeführer BGE 110 IV 42 S. 44 den Landrover hätte anhalten können. Dagegen stellt die Vorinstanz für den Kassationshof verbindlich fest, es wäre für den geländegängigen Landrover kein Problem gewesen, auf das Grasband ausserhalb der Fahrbahn hinauszufahren; auch habe H. erklärt, der "normale Fahrer", d.h. der ordentliche Fahrer der Equipe, wäre von sich aus hinausgefahren. Hätte der Landrover aber nach dem Gesagten ohne weiteres ausserhalb der Autostrasse angehalten werden können, hätte A. dies unbedingt tun müssen, zumal er - wie die Vorinstanz erneut verbindlich feststellt - um die Gefährlichkeit der Autostrasse Biel-Lyss wusste. Indem er es unterliess, verstiess er schuldhaft gegen die vorgenannten Verkehrsregeln. Demgegenüber beruft er sich vergeblich auf BGE 90 IV 232 , um die dort für den Fall höherer Gewalt angedeutete Ausnahme von der Regel für sich in Anspruch zu nehmen; denn von höherer Gewalt kann in casu nicht die Rede sein. Aus BGE 102 II 281 aber kann A. deswegen nichts zu seinen Gunsten ableiten, weil im damals beurteilten Fall der Lastwagen innerorts und zum Auf- und Abladen von Waren angehalten hatte, was hier nicht zutraf. Schliesslich ändert am Gesagten auch nichts, dass Rücklichter und Rundleuchte des Landrovers eingeschaltet waren und das Fahrzeug aus 100 bis 150 m Entfernung gesehen werden konnte. Das entband den Beschwerdeführer nicht der Pflicht, den Wagen dennoch ausserhalb der Fahrbahn anzuhalten. Im übrigen hatte das Bundesgericht in BGE 94 IV 131 , der einen ebenfalls auf der Autostrasse Biel-Lyss erfolgten Unfall betraf, dem damaligen Beschwerdeführer, der eine Panne gehabt hatte, vorgehalten, er hätte diese auf dem 3-4 m breiten Grasstreifen beheben sollen. Was aber für den Fall einer Panne gilt, muss a fortiori für den vorliegenden Fall Geltung haben, wo es dem Beschwerdeführer ohne weiteres möglich gewesen wäre, den fahrtüchtigen Landrover auf das Grasband zu lenken, um ihn daselbst anzuhalten.</w:t>
      </w:r>
    </w:p>
    <w:p>
      <w:r>
        <w:rPr>
          <w:b/>
        </w:rPr>
        <w:t>E. 3</w:t>
      </w:r>
    </w:p>
    <w:p>
      <w:r>
        <w:t>Wie die Vorinstanz ausdrücklich und für den Kassationshof verbindlich feststellt ( BGE 101 IV 152 E. 2b mit Zitaten), war die schuldhafte Missachtung der vorgenannten Verkehrsregeln durch A. für den Unfall und damit für den Tod des M. "natürlich kausal". Soweit sich der Beschwerdeführer hiergegen wendet, ist er nicht zu hören. Es ist aber auch die rechtserhebliche Ursachenfolge gegeben; nach der allgemeinen Lebenserfahrung und dem gewöhnlichen Lauf der Dinge war nämlich das Verhalten des Beschwerdeführers geeignet, zu den tatsächlich eingetretenen Folgen BGE 110 IV 42 S. 45 zu führen ( BGE 103 IV 291 E. 2). Darüber hilft nicht hinweg, dass im Augenblick des Zusammenstosses sich das Fahrzeug wieder in langsamer Bewegung befand. Das schafft die Tatsache nicht aus der Welt, dass es zuvor unzulässigerweise auf der Fahrbahn angehalten worden war und wegen dieses Halts sich im Zeitpunkt des Unfalls noch in der Fahrbahn befand. Übrigens entschloss sich A. nach dem angefochtenen Urteil deswegen, den Wagen langsam in Bewegung zu setzen und auf das Grasband zu fahren, weil er festgestellt hatte, dass der Führer des überholenden Kranwagens das Hindernis offenbar erst im letzten Moment wahrgenommen hatte und deswegen nur knapp an diesem vorbeigekommen war.</w:t>
      </w:r>
    </w:p>
    <w:p>
      <w:r>
        <w:rPr>
          <w:b/>
        </w:rPr>
        <w:t>E. 4</w:t>
      </w:r>
    </w:p>
    <w:p>
      <w:r>
        <w:t>Dem Strasseninspektor-Stellvertreter und Vorgesetzten der Arbeitsequipe H. wirft die Vorinstanz vor, seine Sorgfaltspflicht in mehrfacher Hinsicht verletzt zu haben. Einmal habe er A. aufgefordert anzuhalten und, als dieser es auf der Fahrbahn tat, ihn nicht angewiesen, aufs Gras hinauszufahren. Zum andern hätte er für die Fahrt an den Arbeitsort einen späteren Zeitpunkt wählen können, als ausgerechnet die Hauptverkehrszeit am Morgen. Und schliesslich hätte er ein Absperren der Fahrbahn, die er für das Aufladen des Grases vorgesehen habe, schon in diesem Zeitpunkt anordnen sollen. Hiergegen wird in der Beschwerde nichts vorgebracht, was zu einer Aufhebung des angefochtenen Urteils führen müsste. Der Hinweis darauf, dass H. nach dem Aussteigen - eine brennende Stablampe in der Hand und das Gefahrensignal tragend - auf den Landrover aufmerksam machte, entlastet ihn nicht von dem Vorwurf, dass er es überhaupt nicht hätte zulassen dürfen, dass das Fahrzeug auf der Fahrbahn angehalten wurde. Dass er A. gegenüber "keine weiteren Weisungspflichten" gehabt habe, trifft nicht zu. Er war nach dem angefochtenen Urteil der Vorgesetzte der Equipe und als solcher nicht nur für deren Sicherheit, sondern auch dafür verantwortlich, dass sich diese bei Verrichtung ihrer Arbeit an die gesetzlichen Vorschriften und namentlich an die Verkehrsregeln hielt. Zutreffend stellt deshalb die Vorinstanz fest, er hätte A. anweisen müssen, den Landrover aufs Gras hinauszuführen. Dazu war er nicht nur befugt, sondern als Vorgesetzter nach Art. 100 Ziff. 2 SVG auch verpflichtet. Indem er es unterliess, hat er gleich A. und aus den bereits für diesen angeführten Gründen für den Tod des M. einzustehen.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