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391</w:t>
      </w:r>
    </w:p>
    <w:p>
      <w:r>
        <w:t>Bundesgericht (BGE), 1984-01-01, DE</w:t>
      </w:r>
    </w:p>
    <w:p>
      <w:r>
        <w:rPr>
          <w:b/>
        </w:rPr>
        <w:t xml:space="preserve">Quelle: </w:t>
      </w:r>
      <w:r>
        <w:t>https://mcp.opencaselaw.ch/entscheid/bge_BGE_110_II_391</w:t>
      </w:r>
    </w:p>
    <w:p>
      <w:r>
        <w:t>FR: ATF 110 II 391</w:t>
      </w:r>
    </w:p>
    <w:p>
      <w:r>
        <w:t>IT: DTF 110 II 391</w:t>
      </w:r>
    </w:p>
    <w:p>
      <w:pPr>
        <w:pStyle w:val="Heading2"/>
      </w:pPr>
      <w:r>
        <w:t>Regeste</w:t>
      </w:r>
    </w:p>
    <w:p>
      <w:r>
        <w:t>Regeste Aktienrecht. Haftung des Verwaltungsrats bei unmittelbarem Gläubigerschaden (Art. 754 Abs. 1 OR). 1. Unterscheidung zwischen mittelbarem und unmittelbarem Gläubigerschaden (E. 1). 2. Die Haftung nach Art. 754 Abs. 1 OR setzt voraus, dass der unmittelbare Gläubigerschaden auf eine Verletzung aktienrechtlicher Gläubigerschutzbestimmungen zurückzuführen ist (E. 2).</w:t>
      </w:r>
    </w:p>
    <w:p>
      <w:r>
        <w:t>Regeste Droit des sociétés anonymes. Responsabilité du conseil d'administration pour le dommage direct subi par un créancier (art. 754 al. 1 CO). 1. Distinction entre dommage indirect et direct d'un créancier (consid. 1). 2. La responsabilité de l'art. 754 al. 1 CO suppose que le dommage subi directement par un créancier soit imputable à une violation de dispositions du droit des sociétés anonymes destinées à protéger les créanciers (consid. 2).</w:t>
      </w:r>
    </w:p>
    <w:p>
      <w:r>
        <w:t>Regesto Diritto delle società anonime. Responsabilità del consiglio d'amministrazione per il danno subito direttamente da un creditore (art. 754 cpv. 1 CO). 1. Distinzione tra danno subito indirettamente e danno subito direttamente da un creditore (consid. 1). 2. La responsabilità stabilita dall'art. 754 cpv. 1 CO presuppone che il danno subito direttamente da un creditore sia imputabile a una violazione di norme del diritto delle società anonime destinate a tutelare i creditori (consid. 2).</w:t>
      </w:r>
    </w:p>
    <w:p>
      <w:pPr>
        <w:pStyle w:val="Heading2"/>
      </w:pPr>
      <w:r>
        <w:t>Erwägungen</w:t>
      </w:r>
    </w:p>
    <w:p>
      <w:r>
        <w:rPr>
          <w:b/>
        </w:rPr>
        <w:t>E. 1</w:t>
      </w:r>
    </w:p>
    <w:p>
      <w:r>
        <w:t>Nach Art. 754 Abs. 1 OR sind die mit der Verwaltung betrauten Personen sowohl der Gesellschaft als den einzelnen Aktionären und Gesellschaftsgläubigern für den Schaden verantwortlich, den sie durch absichtliche oder fahrlässige Verletzung der ihnen obliegenden Pflichten verursachen. Leitet sich der Schaden eines Gläubigers bloss aus dem Schaden der Gesellschaft ab, indem der Gläubiger infolge der Vermögenseinbusse der Gesellschaft für seine Forderungen nicht gedeckt ist, so liegt ein mittelbarer Schaden vor. Wird der Gläubiger in seiner vermögensrechtlichen Stellung durch das pflichtwidrige Verhalten der haftbaren Person unabhängig von einer Schädigung der Gesellschaft beeinträchtigt, so liegt ein unmittelbarer (direkter, individueller) Schaden vor (FRICK, Der unmittelbare und der mittelbare Schaden im Verantwortlichkeitsrecht der Aktiengesellschaft, Diss. Zürich 1953, S. 94 u. 99; BÜRGI/NORDMANN, N. 43, 50 und 53 zu Art. 753/754 OR). Ein Ersatzanspruch des Gläubigers aus mittelbarer Schädigung kann nur im Konkurs der Gesellschaft geltend gemacht werden und steht zunächst der Konkursverwaltung zu; erst wenn diese auf eine Geltendmachung verzichtet, kann der Gläubiger die Abtretung des Anspruchs nach den Bestimmungen des SchKG verlangen ( Art. 755, 756 OR ). Im Konkurs der Baga hat die Klägerin die Frist für ein solches Abtretungsbegehren versäumt und damit diesen Anspruch verwirkt. Sie macht denn auch nicht einen mittelbaren Schaden geltend, sondern behauptet, die Beklagte habe sie durch die Verletzung des Mietvertrags mit der Baga unmittelbar geschädigt.</w:t>
      </w:r>
    </w:p>
    <w:p>
      <w:r>
        <w:rPr>
          <w:b/>
        </w:rPr>
        <w:t>E. 2</w:t>
      </w:r>
    </w:p>
    <w:p>
      <w:r>
        <w:t>Die Klägerin ist durch den Vertragsbruch unbestritten in ihrer vermögensrechtlichen Stellung nach allgemeinem Vertragsrecht beeinträchtigt worden. Es steht ihr deshalb die Klage aus BGE 110 II 391 S. 394 Nichterfüllung des Mietvertrags gegen die Gesellschaft zu, welche sie auch in erster Linie angehoben hat. Auf die aktienrechtliche Verantwortlichkeit kann sie sich darüber hinaus nur berufen, soweit in der Nichterfüllung des Mietvertrags zugleich ein pflichtwidriges Verhalten der Beklagten als Verwaltungsorgan der Aktiengesellschaft liegt. Art. 754 Abs. 1 OR verlangt eine Verletzung von der Verwaltung und der Kontrollstelle "obliegenden Pflichten". Gemeint sind die den Organen durch das Gesetz oder die Statuten auferlegten Pflichten, wie das in Art. 754 Abs. 2 OR , wo in gleicher Weise die Haftung der Liquidatoren geregelt ist, deutlicher zum Ausdruck kommt. Schon nach Art. 674 aOR hafteten die erwähnten Personen den Aktionären und den Gläubigern für die absichtliche Verletzung ihrer "Verwaltungs- und Aufsichtspflichten". Die mit der Revision von 1936 eingeführte geltende Regelung brachte in dieser Beziehung neu eine Haftung für jedes Verschulden, ohne an der Umschreibung des Haftungstatbestands etwas ändern zu wollen (BÄR, Verantwortlichkeit des Verwaltungsrates der Aktiengesellschaft, ZBJV 106/1970 S. 495; BÜRGI/NORDMANN N. 6 zu Art. 753/754 OR). Die Umschreibung der aktienrechtlichen Verantwortlichkeit als Haftung für eine Verletzung gesetzlicher oder statutarischer Verwaltungs- und Aufsichtspflichten entspricht auch dem mit der Regelung verfolgten Zweck, die Haftung intern auszudehnen, damit die Einhaltung der vom Gesetz zwingend vorgeschriebenen Pflichten der Organe gegenüber der Gesellschaft besser garantiert werde (vgl. dazu BÜRGI/NORDMANN N. 16 zu Art. 753/754 OR). a) Von dieser Rechtslage geht auch die Vorinstanz aus, indem sie annimmt, die Beklagte habe nicht nur die mietvertragliche Verpflichtung zur Überlassung des Mietobjekts an die Klägerin verletzt, sondern zugleich die einem geschäftsführenden Organ obliegenden Pflichten missachtet. Sie hält dafür, die Beklagte sei gemäss Art. 722 OR verpflichtet gewesen, die Geschäfte der Aktiengesellschaft mit aller Sorgfalt zu führen und hätte deshalb beim Verkauf des Mietobjekts den Eintritt des Käufers in den Mietvertrag vertraglich absichern müssen. Indem die Beklagte sich zu einem Verhalten entschlossen habe, das sich als Vertragsverletzung gegenüber der Klägerin darstelle, habe sie zugleich ihre Organpflichten verletzt. b) Zwar ist denkbar, dass die Beklagte mit der Verletzung des Mietvertrags zugleich statutarische oder gesetzliche Pflichten (namentlich die allgemeine Sorgfaltspflicht aus Art. 722 OR ) gegenüber BGE 110 II 391 S. 395 der Gesellschaft missachtet hat, was diese allenfalls berechtigt hätte, auf die Beklagte zurückzugreifen, nachdem sie von der Klägerin aus dem Mietvertrag belangt worden war. In der allfälligen Verletzung von Pflichten gegenüber der Gesellschaft lag aber nicht schon ein pflichtwidriges Verhalten gegenüber der Gläubigerin. Das hätte vorausgesetzt, dass die Beklagte die ihr als Gesellschaftsorgan obliegenden Pflichten gegenüber der Klägerin verletzt hätte ( BGE 106 II 261 ). Die Schadenzufügung durch das Organ muss auf einen Verstoss gegen aktienrechtliche Gläubigerschutzbestimmungen zurückgeführt werden können; ein Verstoss gegen eine aktienrechtliche Vorschrift, die nur die Gesellschaft oder den Aktionär schützen soll, nicht aber den Gläubiger, genügt nicht, damit im Sinn von Art. 754 OR von einem rechtswidrigen Verhalten gegenüber dem Gläubiger gesprochen werden kann (FRICK, a.a.O. S. 94). Solche gläubigerschützende Vorschriften finden sich vor allem in den Bestimmungen über die Publizität, namentlich in den Bilanzierungsvorschriften, oder in den Bestimmungen über die Erhaltung des Grundkapitals. Dementsprechend ist die Haftung etwa zu bejahen, wenn das Gesellschaftsorgan den Gläubiger durch falsche Auskünfte über die finanzielle Lage der Gesellschaft oder durch Verletzung der Bilanzierungsvorschriften zur Kreditgewährung an die Gesellschaft veranlasst hat ( BGE 106 II 261 ; Urteil des Bundesgerichts i.S. B. gegen B. vom 6. November 1951, in SJ 74/1952 S. 81 ff., E. 3 S. 86, frei wiedergegeben auch in SAG 25/1952-53 S. 140 ff.). c) Der Beklagten wird vorgeworfen, dass sie in ihrer Eigenschaft als Organ der Aktiengesellschaft den Mietvertrag zwischen dieser und der Klägerin gebrochen hat, allenfalls dass sie damit ihre Sorgfaltspflicht gegenüber der Gesellschaft missachtet hat, was sie allerdings bestreitet. Dass sie beim Vertragsbruch auch noch gegen Gläubigerschutzvorschriften des Aktienrechts verstossen hätte, ist nicht ersichtlich und wird auch nicht geltend gemacht. Die Klage lässt sich daher entgegen der Vorinstanz nicht auf Art. 754 OR stützen.</w:t>
      </w:r>
    </w:p>
    <w:p>
      <w:r>
        <w:rPr>
          <w:b/>
        </w:rPr>
        <w:t>E. 3</w:t>
      </w:r>
    </w:p>
    <w:p>
      <w:r>
        <w:t>(Verneinung der Haftung aus Art. 41 OR mangels tatsächlicher Behauptungen der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