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380</w:t>
      </w:r>
    </w:p>
    <w:p>
      <w:r>
        <w:t>Bundesgericht (BGE), 1984-01-01, DE</w:t>
      </w:r>
    </w:p>
    <w:p>
      <w:r>
        <w:rPr>
          <w:b/>
        </w:rPr>
        <w:t xml:space="preserve">Quelle: </w:t>
      </w:r>
      <w:r>
        <w:t>https://mcp.opencaselaw.ch/entscheid/bge_BGE_110_II_380</w:t>
      </w:r>
    </w:p>
    <w:p>
      <w:r>
        <w:t>FR: ATF 110 II 380</w:t>
      </w:r>
    </w:p>
    <w:p>
      <w:r>
        <w:t>IT: DTF 110 II 380</w:t>
      </w:r>
    </w:p>
    <w:p>
      <w:pPr>
        <w:pStyle w:val="Heading2"/>
      </w:pPr>
      <w:r>
        <w:t>Regeste</w:t>
      </w:r>
    </w:p>
    <w:p>
      <w:r>
        <w:t>Regeste Widerruf eines Architektenvertrags; Art. 404 OR, Honorarzuschläge gemäss Art. 5.5 und Art. 8.1 SIA-Norm 102 (Ausgabe 1969). 1. Rechtliche Qualifikation des Architektenvertrags, Widerrufsrecht gemäss Art. 404 Abs. 1 OR: Bestätigung der mit BGE 109 II 464 E. 3 eingeleiteten Praxis (E. 2). 2. Werden die Architektenarbeiten auf Veranlassung des Bauherrn vor dem Widerruf des Auftrags eingestellt, so kann der Bauherr die Zahlung des Honorarzuschlags im Sinn von Art. 8.1 SIA-Norm 102 nicht mit dem Hinweis darauf verweigern, der Widerruf sei nicht zur Unzeit erfolgt, weil der Architekt die früher getroffenen Dispositionen bereits rückgängig gemacht habe (E. 3). 3. Art. 404 Abs. 2 OR, der nach der Rechtsprechung keinen Anspruch auf Ersatz entgangenen Gewinns gibt, schliesst den Zuspruch des in Art. 5.5 SIA-Norm 102 vorgesehenen Honorarzuschlags aus (E. 4).</w:t>
      </w:r>
    </w:p>
    <w:p>
      <w:r>
        <w:t>Regeste Révocation d'un contrat d'architecte; art. 404 CO, supplément d'honoraires selon les art. 5.5 et 8.1 des normes SIA 102 (édition 1969). 1. Qualification juridique du contrat d'architecte, droit de révoquer le contrat selon l'art. 404 al. 1 CO: confirmation de la jurisprudence introduite par l'arrêt ATF 109 II 464 consid. 3 (consid. 2). 2. Supplément d'honoraires prévu par l'art. 8.1 de la norme SIA 102 en cas de révocation du mandat. Son paiement ne saurait être refusé par le mandant, au motif qu'il avait déjà auparavant fait interrompre les travaux d'architecte, que l'architecte avait annulé les dispositions prises auparavant et que la révocation n'aurait donc pas eu lieu en temps inopportun (consid. 3). 3. Supplément d'honoraires prévu par l'art. 5.5 de la norme SIA en cas d'attribution du mandat à un autre architecte ou à un tiers. Cette disposition est contraire à l'art. 404 al. 2 CO, qui selon la jurisprudence exclut la réparation du manque à gagner (consid. 4).</w:t>
      </w:r>
    </w:p>
    <w:p>
      <w:r>
        <w:t>Regesto Revoca di un contratto d'architetto; art. 404 CO, maggiorazioni dell'onorario ai sensi degli art. 5.5 e 8.1 della Norma SIA 102 (edizione 1969). 1. Qualificazione giuridica del contratto d'architetto, diritto di revoca ai sensi dell'art. 404 cpv. 1 CO: conferma della giurisprudenza introdotta con DTF 109 II 464 consid. 3 (consid. 2). 2. Se i lavori dell'architetto sono stati interrotti per fatto del committente prima della revoca del mandato, il committente non può rifiutare il pagamento della maggiorazione d'onorario ai sensi dell'art. 8.1 della Norma SIA 102 adducendo che la revoca non è intempestiva per aver l'architetto già annullato le disposizioni prese in precedenza (consid. 3). 3. L'art. 404 cpv. 2 CO che, secondo la giurisprudenza, non dà diritto al risarcimento del lucro cessante, esclude il diritto d'ottenere la maggiorazione d'onorario prevista dall'art. 5.5 della Norma SIA 102 (consid. 4).</w:t>
      </w:r>
    </w:p>
    <w:p>
      <w:pPr>
        <w:pStyle w:val="Heading2"/>
      </w:pPr>
      <w:r>
        <w:t>Erwägungen</w:t>
      </w:r>
    </w:p>
    <w:p>
      <w:r>
        <w:rPr>
          <w:b/>
        </w:rPr>
        <w:t>E. 1</w:t>
      </w:r>
    </w:p>
    <w:p>
      <w:r>
        <w:t>Es ist nicht streitig, dass der Beklagte mit den Klägern zumindest konkludent einen Architektenvertrag abgeschlossen hat. Das Obergericht hat mit Hilfe eines Experten den Honoraranspruch der Kläger für die von ihnen geleisteten Arbeiten ermittelt und auf Fr. 95'877.50 festgesetzt. Weil der Beklagte bereits Fr. 100'000.-- bezahlt hatte, ergab sich ein Saldo zu seinen Gunsten von Fr. 4'122.50. Insoweit ist das Urteil des Obergerichts unangefochten. Der Beklagte stellt zu Recht auch nicht mehr in Abrede, dass er den Architektenauftrag sinngemäss widerrufen hat, indem er das Grundstück samt dem Bauprojekt an einen Dritten verkaufte, ohne den Architektenvertrag zu überbinden. Streitig ist dagegen, ob die Vorinstanz den Klägern wegen des Auftragsentzugs zu Recht die in Art. 5.5 und Art. 8.1 der SIA-Honorarordnung vorgesehenen Honorarzuschläge bewilligt hat. Dass die Parteien die Anwendung der SIA-Norm 102 (Ausgabe 1969) vereinbart haben, wird auch vom Beklagten anerkannt. BGE 110 II 380 S. 382</w:t>
      </w:r>
    </w:p>
    <w:p>
      <w:r>
        <w:rPr>
          <w:b/>
        </w:rPr>
        <w:t>E. 2</w:t>
      </w:r>
    </w:p>
    <w:p>
      <w:r>
        <w:t>Das Obergericht lässt die Frage, ob der Architektenvertrag den Regeln des Auftrags oder des Werkvertrags zu unterstellen sei, mit der Begründung offen, die streitigen Ansprüche der Kläger seien selbst im Fall der Anwendung von Auftragsrecht begründet. Nach Auffassung des Beklagten kommt dagegen der Qualifikationsfrage entscheidende Bedeutung zu, weil Art. 5.5 und Art. 8.1 der SIA-Norm mit dem Widerrufsrecht gemäss Art. 404 Abs. 1 OR unvereinbar seien. Mit BGE 109 II 464 E. 3 hat das Bundesgericht seine Rechtsprechung zum Architektenvertrag geändert. In diesem Urteil wird insbesondere ausgeführt, Art. 394 Abs. 2 OR schliesse die Anerkennung gemischter Verträge auf Arbeitsleistung nicht aus und zwinge nicht dazu, ein komplexes Vertragsverhältnis wie den Architektenvertrag entweder ganz als Auftrag oder ganz als Werkvertrag zu beurteilen. Architektenarbeiten, welche den Regeln des Werkvertrags unterstellt werden könnten, seien zum Beispiel das Erstellen von Ausführungsplänen und Kostenvoranschlägen, allenfalls sogar das Ausarbeiten von Bauprojekten. Andere Aufgaben wie Arbeitsvergebung und Bauaufsicht seien dagegen nur als Auftrag rechtlich erfassbar. Das Bundesgericht schloss eine Spaltung der Rechtsfolgen in bezug etwa auf die Mängelhaftung nicht aus, hielt diesen Weg aber nicht für gangbar, wenn die vorzeitige Auflösung eines Gesamtvertrags umstritten ist, der Auftrags- und Werkvertragselemente umfasst. Bei einem Projektierung und Bauausführung umfassenden Architektenvertrag komme dem Vertrauensverhältnis zwischen dem Bauherrn und dem Architekten so grosse Bedeutung zu, dass die Auflösungsregel des Art. 404 OR den Vorzug verdiene ( BGE 109 II 466 ). Das Obergericht stellt unwidersprochen fest, dass nach dem Vertrag die Kläger ein Bauprojekt auszuarbeiten hatten, das unter ihrer Leitung ausgeführt werden sollte. Es handelte sich daher um einen Gesamtauftrag, dessen Widerruf nach Art. 404 OR zu beurteilen ist.</w:t>
      </w:r>
    </w:p>
    <w:p>
      <w:r>
        <w:rPr>
          <w:b/>
        </w:rPr>
        <w:t>E. 3</w:t>
      </w:r>
    </w:p>
    <w:p>
      <w:r>
        <w:t>Entzieht der Bauherr dem Architekten den Auftrag ohne dessen Verschulden, so hat der Architekt nach Art. 8.1 der SIA-Norm 102 Anspruch auf einen Honorarzuschlag von 15% oder mehr, sofern der nachgewiesene Schaden diesen Prozentsatz übersteigt. Das Obergericht anerkennt unter diesem Titel eine Forderung der Kläger von Fr. 14'381.60. Es geht davon aus, dass die SIA-Bestimmung dem Art. 404 Abs. 2 OR entspreche und der Honorarzuschlag wie der Schadenersatzanspruch davon abhänge, BGE 110 II 380 S. 383 dass dem Architekten keinerlei Nachlässigkeit zur Last falle, die das Vertrauensverhältnis zum Bauherrn gestört hätte. Im Ergebnis, wenn auch nicht ohne weiteres in der Begründung, folgt die Vorinstanz sodann dem Urteil des Bundesgerichts in Sachen Disch (S. J. 1978 S. 385 ff.); es entspreche der allgemeinen Lebenserfahrung, dass der Architekt durch den Auftragsentzug einen nur schwer konkretisierbaren Schaden erleide, was die Pauschalierung rechtfertige. Der Architekt führe in der Regel einen nach kaufmännischen Grundsätzen organisierten Betrieb, der schon bei Eingang des Auftrags weitreichende Dispositionen bezüglich Personaleinsatz, Behörden- und Unternehmerkontakten erfordere. Besonders während der Projektierungsphase bleibe wenig Raum für ein besonderes Vertrauensverhältnis, weil der Architekt ein fertiges Produkt abzuliefern habe. In dieser Phase könne daher auch nur ausnahmsweise ein Widerruf auf die Störung des Vertrauensverhältnisses gestützt werden, anders als etwa bei Ärzten und Anwälten. a) Der Beklagte hält am Einwand fest, der streitige Honorarzuschlag sei eine verpönte Konventionalstrafe, die den freien Widerruf in unzulässiger Weise erschwere. Im bereits zitierten BGE 109 II 462 ff. ist diese Frage einlässlich geprüft worden. Dabei wurde im Ergebnis an der Entscheidung Disch festgehalten, indes bei der Begründung der namentlich von TERCIER (in Baurecht 1979 S. 9 und 1982 S. 9) geäusserten Kritik Rechnung getragen. Danach begründet zwar Art. 8.1 SIA-Norm 102 eine Konventionalstrafe, doch ist sie wie die Schadenersatzpflicht gemäss Art. 404 Abs. 2 OR mit dem Widerrufsrecht vereinbar, falls der Widerruf zur Unzeit erfolgt. Daran ist auch im vorliegenden Fall festzuhalten. b) Bei der Beurteilung der Frage, ob der Beklagte zur Unzeit widerrufen hat, will das Obergericht entscheidend darauf abstellen, ob den Klägern eine - wenn auch geringe - Nachlässigkeit vorzuwerfen sei. Dieser Gesichtspunkt wurde zwar in BGE 104 II 320 E. 5b in den Vordergrund gestellt; mit BGE 106 II 160 E. 2c hat das Bundesgericht aber zum Ausdruck gebracht, dass eine weitere Bedingung gegeben sein muss. Die Annahme eines Widerrufs zur Unzeit setzt danach nicht nur voraus, dass der Architekt dazu keinen begründeten Anlass gegeben hat, sondern auch, dass die Vertragsauflösung hinsichtlich des Zeitpunkts und der von ihm getroffenen Dispositionen für ihn nachteilig ist. BGE 110 II 380 S. 384 Das Obergericht hält die erste Voraussetzung für gegeben, weil selbst eine leichte Nachlässigkeit der Kläger nicht ersichtlich sei. Zur Zeit des Kaufs sei das Grundstück allerdings nicht baureif gewesen; die Kläger hätten sich möglicherweise dem Beklagten gegenüber in dieser Beziehung etwas zu optimistisch geäussert; doch habe der Beklagte gewusst, dass es sich nur um Prognosen mit einem spekulativen Element habe handeln können. Der Beklagte beharrt demgegenüber darauf, nicht zur Unzeit widerrufen zu haben, weil das Grundstück erst nach Jahren wirklich baureif geworden und den Klägern daher zumindest eine leichte Nachlässigkeit vorzuwerfen sei. Soweit sich dieser Einwand nicht nur gegen eine verbindliche tatsächliche Feststellung, sondern auch gegen eine überprüfbare rechtliche Würdigung der Vorinstanz richtet, ist er unbegründet. Es braucht daher nicht entschieden zu werden, ob der Beklagte allenfalls auch durch jahrelanges Zuwarten sein Widerrufsrecht verwirkt habe; sein Verhalten bestätigt immerhin, dass er selbst das Grundstück im Jahr 1971 noch nicht als völlig baureif betrachtet hat. c) Das Obergericht stellt fest, die Kläger hätten in der Zeit zwischen 1975, als die Baubewilligung erteilt wurde, und 1977, als der Beklagte das Grundstück verkaufte, praktisch keine Tätigkeit entfaltet. Die Kläger machen in der Berufungsantwort nicht geltend, die Vorinstanz habe den Sachverhalt lückenhaft festgestellt, indem sie konkrete Behauptungen nicht berücksichtigt habe. In der kantonalen Appellationsbegründung hatte zudem der Beklagte vorgebracht, die Kläger hätten einen Schaden aus Widerruf im Sinn des negativen Vertragsinteresses gar nie behauptet; weil die Arbeiten zwei Jahre geruht hätten, sei undenkbar, dass sie Vorkehren zur weiteren Ausführung oder Bearbeitung getroffen hätten. Die Kläger haben darauf in der Antwort lediglich auf der Pauschalierung im Sinn des Urteils in Sachen Disch bestanden. Für eine Ergänzung des Sachverhalts und Rückweisung an die Vorinstanz bleibt daher kein Raum. Es ist somit davon auszugehen, dass die Kläger durch den Widerruf im Jahre 1977 nicht nachweisbar hinsichtlich konkreter Dispositionen benachteiligt worden sind. Wie bereits erwähnt, folgert das Obergericht aus der Natur des Architektenvertrags und der Lebenserfahrung, dass der Betrieb eines Architekturbüros ganz allgemein auf längerfristigen Dispositionen beruhe und sich dadurch von der Tätigkeit des Arztes und Anwalts unterscheide. Die gleiche Überlegung lag dem Urteil des Bundesgerichts in Sachen Disch (S. J. 1978 S. 392) und BGE 109 II 470 BGE 110 II 380 S. 385 zugrunde. Obschon es sich in jenen Fällen um Grossaufträge mit Baukostensummen von 16,5 und 27 Millionen Franken handelte, kann der Erfahrungssatz doch nicht nur für Grossbauten gelten; auch die hier vorliegende Baukostensumme, die sich nach der Expertise auf ca. 2,4 Millionen Franken belief, machte entsprechende Dispositionen nötig. Das Obergericht nimmt demnach zu Recht an, die Kläger seien bis zur Einstellung der Tätigkeit für den Beklagten mit Aufwendungen belastet worden, die durch den Honoraranspruch nicht gedeckt sind. Die vorstehenden Erwägungen machen deutlich, dass der Honorarzuschlag gemäss Art. 8.1 SIA-Norm 102 ohne weiteres zuzusprechen wäre, wenn der Beklagte den Vertrag schon im Jahre 1975 widerrufen hätte. Damit drängt sich aber die Frage auf, ob die Kläger den Anspruch, der ihnen bei früherem Auftragsentzug zugestanden hätte, wegen des zweijährigen Unterbruchs verlieren können. Dabei ist von Bedeutung, welche der Vertragsparteien die Einstellung der Architektenarbeiten zu verantworten hat. Das Obergericht stellt dazu fest, die Sistierung sei auf Wunsch des Beklagten und aus nicht von den Klägern zu vertretenden Gründen erfolgt. Der Beklagte äussert sich in der Berufung nicht zu dieser Frage. Die Kläger behaupten, die baupolizeilichen Hindernisse seien 1975 behoben gewesen, die seitherige Verzögerung habe allein der Beklagte zu vertreten. Es ist daher davon auszugehen, dass die Kläger weder für die Verzögerung noch für den Entzug des Auftrags verantwortlich sind. Sie mussten sich mit dem Unterbruch abfinden und konnten das auch tun in der Erwartung, zu gegebener Zeit die Arbeit wieder aufnehmen zu können. Verzögert aber ein Bauherr ohne Zutun des Architekten die Ausführung des Bauvorhabens und zwingt er ihn dadurch, die bereits vorgenommenen Dispositionen rückgängig zu machen, so kann er sich nicht nachträglich darauf berufen, der Widerruf erfolge nun nicht mehr zur Unzeit, weil der Architekt inzwischen bereits umdisponiert habe. Das angefochtene Urteil ist demnach insoweit zu bestätigen.</w:t>
      </w:r>
    </w:p>
    <w:p>
      <w:r>
        <w:rPr>
          <w:b/>
        </w:rPr>
        <w:t>E. 4</w:t>
      </w:r>
    </w:p>
    <w:p>
      <w:r>
        <w:t>Wird nach dem Widerruf des Auftrags die Ausführung des Projekts ohne vorgängige Vereinbarung einem andern Architekten oder Dritten übertragen, so hat der Projektverfasser gemäss SIA-Norm 102 Anspruch auf einen Honorarzuschlag von 20% (Art. 8.2 in Verbindung mit Art. 5.5). Das Obergericht spricht den Klägern unter diesem Titel einen Betrag von Fr. 12'784.60 zu. Es vermag eine Zustimmung der Kläger zur anderweitigen Verwendung BGE 110 II 380 S. 386 ihres Projekts nicht zu erkennen und sieht im Zuschlag eine Gegenleistung für die dem Architekten entgangene wirtschaftliche Verwertung eines urheberrechtlich geschützten Werkes. a) Der Beklagte hält daran fest, dass es sich beim Zuschlag um eine Konventionalstrafe handle, die eine unzulässige Erschwerung des Widerrufs darstelle. Diese Auffassung lag BGE 104 II 319 E. 5 zugrunde, wo Art. 5.5 der SIA-Norm 102 nicht als Entschädigung aus Urheberrecht, sondern als Anspruch wegen Auftragsentzugs behandelt und gleich wie der Honorarzuschlag aus Art. 8.1 SIA-Norm 102 abgewiesen wurde, weil der Architekt nachlässig gewesen war. Dem haben sowohl MERZ (ZBJV 116/1980 S. 23) als auch TERCIER (Baurecht 1980/2 S. 28) zugestimmt. Im vorliegenden Fall besteht kein Grund, von dieser Rechtsprechung abzuweichen; gleich wie in BGE 104 II 320 E. 5b ist deshalb auf Art. 5.5 SIA-Norm 102 die Vorschrift von Art. 404 Abs. 2 OR anzuwenden. b) Nach der Rechtsprechung des Bundesgerichts gibt Art. 404 Abs. 2 OR keinen Anspruch auf Ersatz des entgangenen Gewinns, sondern nur auf Ausgleich der besonderen Nachteile als Folge des unzeitigen Widerrufs ( BGE 109 II 469 /70 mit Hinweisen). Das Obergericht führt zutreffend aus, mit dem Zuschlag gemäss Art. 5.5 der SIA-Norm 102 solle der Architekt einen Gegenwert erhalten für die ihm entgangene wirtschaftliche Verwertung eines urheberrechtlich geschützten Werkes. Es nimmt zu Recht an, es handle sich dabei um einen reinen Anspruch auf Ersatz des entgangenen Gewinns. Die Kläger vertreten in der Berufungsantwort die gleiche Auffassung. Da aber ein derartiger Anspruch nach der Bundesgerichtspraxis mit Art. 404 Abs. 2 OR unvereinbar ist, muss das Urteil des Obergerichts aufgehoben und die Klage insoweit abgewiesen werden. Damit kann offenbleiben, ob ein kumulierter Honorarzuschlag von 35% in Anwendung von Art. 163 Abs. 3 OR herabgesetzt werden müsste, wie der Beklagte geltend macht.</w:t>
      </w:r>
    </w:p>
    <w:p>
      <w:r>
        <w:rPr>
          <w:b/>
        </w:rPr>
        <w:t>E. 5</w:t>
      </w:r>
    </w:p>
    <w:p>
      <w:r>
        <w:t>Die Kläger haben somit Anrecht auf den Zuschlag gemäss Art. 8.1 SIA-Norm 102 in der Höhe von Fr. 14'381.60. Nach Abzug des Verrechnungssaldos von Fr. 4'122.50 verbleibt ein Restbetrag von Fr. 10'259.10. Im Mehrbetrag ist die Klage abzuweisen. BGE 110 II 380 S. 387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