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321</w:t>
      </w:r>
    </w:p>
    <w:p>
      <w:r>
        <w:t>Bundesgericht (BGE), 1984-01-01, DE</w:t>
      </w:r>
    </w:p>
    <w:p>
      <w:r>
        <w:rPr>
          <w:b/>
        </w:rPr>
        <w:t xml:space="preserve">Quelle: </w:t>
      </w:r>
      <w:r>
        <w:t>https://mcp.opencaselaw.ch/entscheid/bge_BGE_110_II_321</w:t>
      </w:r>
    </w:p>
    <w:p>
      <w:r>
        <w:t>FR: ATF 110 II 321</w:t>
      </w:r>
    </w:p>
    <w:p>
      <w:r>
        <w:t>IT: DTF 110 II 321</w:t>
      </w:r>
    </w:p>
    <w:p>
      <w:pPr>
        <w:pStyle w:val="Heading2"/>
      </w:pPr>
      <w:r>
        <w:t>Regeste</w:t>
      </w:r>
    </w:p>
    <w:p>
      <w:r>
        <w:t>Regeste Errungenschaftsgemeinschaft (Art. 216 und 217 ZGB). Ein Ehemann darf für den Unterhalt der Familie nur insoweit auf die gemeinsame Errungenschaft zurückgreifen, ohne die Einwilligung der Ehefrau einzuholen, als dieser Unterhalt im Rahmen des Üblichen bleibt (E. 1).</w:t>
      </w:r>
    </w:p>
    <w:p>
      <w:r>
        <w:t>Regeste Communauté d'acquêts (art. 216 et 217 CC). Le mari ne peut disposer des acquêts pour l'entretien de la famille sans le consentement de sa femme que dans la mesure où cet entretien reste dans les limites de ce qui est usuel (consid. 1).</w:t>
      </w:r>
    </w:p>
    <w:p>
      <w:r>
        <w:t>Regesto Comunione d'acquisti (art. 216 e 217 CC). Il marito può, senza il consenso della moglie, disporre degli acquisti per mantenere la famiglia solo nella misura in cui il mantenimento rimanga nei limiti di ciò che è usuale (consid. 1).</w:t>
      </w:r>
    </w:p>
    <w:p>
      <w:pPr>
        <w:pStyle w:val="Heading2"/>
      </w:pPr>
      <w:r>
        <w:t>Erwägungen</w:t>
      </w:r>
    </w:p>
    <w:p>
      <w:r>
        <w:rPr>
          <w:b/>
        </w:rPr>
        <w:t>E. 1</w:t>
      </w:r>
    </w:p>
    <w:p>
      <w:r>
        <w:t>Entsprechend den Anträgen in der Berufungsschrift ist nur noch die Formulierung der Indexklausel, welche der Berechnung des Rentenanspruchs der Klägerin zugrunde gelegt werden soll, und die Höhe des ihr nach Güterrecht zustehenden Vorschlagsanteils streitig. Der Beklagte wirft dem Obergericht in erster Linie vor, es habe den Vorschlagsanteil der Klägerin falsch berechnet. Wenn es in Übereinstimmung mit der ersten Instanz angenommen habe, dass eine während des Scheidungsprozesses eingetretene Verminderung der Errungenschaft der Ehegatten bei der Vorschlagsberechnung grundsätzlich ausser acht bleiben müsse und nur bei Vorliegen besonderer Umstände Berücksichtigung finden könne, habe es gegen Bundesrecht verstossen. Der Ehemann sei nach schweizerischem Recht weder unter dem Güterstand der Güterverbindung noch der Gütergemeinschaft verpflichtet, Vorschlag zu äufnen. Unter beiden Güterständen sei er auch frei, über seine Ersparnisse zu verfügen. Nichts anderes ergebe sich aus der Rechtsprechung BGE 110 II 321 S. 323 des Bundesgerichts in BGE 107 II 127 sowie aus der von HINDERLING (Schweizerisches Ehescheidungsrecht, Zusatzband zur 3. Aufl., S. 161) und LEMP (N. 27 zu Art. 212 und 213 ZGB und N. 8 zu Art. 214 ZGB ) vertretenen Auffassung. Dabei übersieht der Beklagte allerdings, dass sich sowohl das Bundesgericht wie auch die erwähnten Autoren an den zitierten Stellen nur mit dem gesetzlichen Güterstand der Güterverbindung befassen, nicht aber mit dem Güterstand der Errungenschaftsgemeinschaft, der unbestrittenermassen aufgrund des Ehevertrags vom 11. Mai 1967 für die Parteien und mit Wirkung gegen Dritte gilt. Diesem Unterschied kommt aber für die Frage, ob der Ehemann über die Errungenschaft verfügen konnte, entscheidende Bedeutung zu. Bei der Güterverbindung steht die Errungenschaft im ausschliesslichen Eigentum des Ehemannes, während sie bei der Errungenschaftsgemeinschaft beiden Ehegatten zur gesamten Hand zusteht (Art. 239 Abs. 2 in Verbindung mit Art. 215 ff. ZGB ). Im Ehevertrag der Parteien vom 11. Mai 1967 wird denn auch unter Ziffer 5 ausdrücklich die in Art. 216 und 217 ZGB enthaltene Regelung der Verwaltung und Verfügung über das Gemeinschaftsgut wiedergegeben. Die gemeinsame Errungenschaft soll danach durch den Ehemann verwaltet werden, der aber nur im Rahmen der ordentlichen Verwaltung ohne Zustimmung der Ehefrau über das Gesamtgut verfügen kann. Daran ändert auch nichts, dass dem Ehemann gemäss Art. 160 Abs. 2 ZGB die Pflicht obliegt, für den Unterhalt der Familie aufzukommen. Ein Ehemann darf zu diesem Zweck nur insoweit ohne Einwilligung der Ehefrau über die gemeinsame Errungenschaft verfügen, als der Unterhalt der Familie im Rahmen des Gewöhnlichen bleibt (LEMP, N. 15 zu Art. 217 ZGB ). Wenn die kantonalen Instanzen demnach davon ausgegangen sind, dass das Erwerbseinkommen der Ehegatten und der Vermögensertrag des Ehemannes grundsätzlich ausreichen, um den Unterhalt beider Ehegatten während des Scheidungsprozesses knapp zu decken, so dass ein Rückgriff auf die gemeinsame Errungenschaft für den Unterhalt einer besonderen Rechtfertigung bedürfe, so ist darin keine Verletzung von Bundesrecht zu erblicken. Zwar ist den Ausführungen in der Berufungsschrift zu entnehmen, dass der Beklagte der Meinung ist, die Klägerin sei von der Vorinstanz bevorzugt worden, indem ihr hohe Unterhaltsbeiträge zugesprochen worden seien. Dem ist aber entgegenzuhalten, dass die Vorinstanz bei der Berechnung des Unterhaltsbeitrages für die BGE 110 II 321 S. 324 Klägerin von einem monatlichen Gesamteinkommen der Ehegatten von Fr. 4'780.--, das sich aus dem Verdienst des Beklagten von Fr. 4'380.-- und einem Beitrag der Klägerin an die ehelichen Lasten von Fr. 400.-- zusammensetzt, ausgegangen ist. Unter Berücksichtigung der Steuern setzte sie den Unterhaltsbedarf des Beklagten auf Fr. 2'446.-- und denjenigen der Klägerin auf Fr. 2'372.-- fest. Da der Unterhalt beider Ehegatten aus dem Gesamteinkommen nicht ganz gedeckt werden konnte, mutete die Vorinstanz dem Beklagten zu, den monatlichen Fehlbetrag von Fr. 66.-- bzw. Fr. 38.-- seinem Vermögen zu entnehmen. Wenn aber die Ehefrau trotz ihres gesetzlichen Anspruchs auf ehelichen Unterhalt nur gerade auf die Deckung ihres unumgänglichen laufenden Bedarfs verwiesen wurde, so musste sich auch der Ehemann dieselbe Beschränkung gefallen lassen, denn sonst wäre er und nicht etwa die Klägerin zu Lasten der gemeinsamen Errungenschaft bevorzugt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