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225</w:t>
      </w:r>
    </w:p>
    <w:p>
      <w:r>
        <w:t>Bundesgericht (BGE), 1984-01-01, DE</w:t>
      </w:r>
    </w:p>
    <w:p>
      <w:r>
        <w:rPr>
          <w:b/>
        </w:rPr>
        <w:t xml:space="preserve">Quelle: </w:t>
      </w:r>
      <w:r>
        <w:t>https://mcp.opencaselaw.ch/entscheid/bge_BGE_110_II_225</w:t>
      </w:r>
    </w:p>
    <w:p>
      <w:r>
        <w:t>FR: ATF 110 II 225</w:t>
      </w:r>
    </w:p>
    <w:p>
      <w:r>
        <w:t>IT: DTF 110 II 225</w:t>
      </w:r>
    </w:p>
    <w:p>
      <w:pPr>
        <w:pStyle w:val="Heading2"/>
      </w:pPr>
      <w:r>
        <w:t>Regeste</w:t>
      </w:r>
    </w:p>
    <w:p>
      <w:r>
        <w:t>Regeste Befristung der Rentenverpflichtung gemäss Art. 151 Abs. 1 ZGB. Die Ehefrau erleidet durch die Scheidung einen materiellen Schaden, da sie den Anspruch auf Unterhalt durch den gut verdienenden Gatten wie auch die Ansprüche, die ihr als verheiratete Frau gegenüber der Sozialversicherung zugestanden wären, verliert. Anderseits hat sich die wenig über vierzig Jahre alte Klägerin, Mutter eines 17- und eines 19jährigen Kindes, im Berufsleben bereits wieder zurechtgefunden. Sie kann die Zeit und die Kraft, die sie durch den Wegfall der Haushaltführungs- und weiteren Beistandspflichten gewonnen hat, für berufliche Tätigkeit einsetzen und gelangt so zu einem ausreichenden Erwerbseinkommen. Es rechtfertigt sich deshalb eine zeitliche Befristung ihrer Unterhaltsberechtigung gemäss Art. 151 Abs. 1 ZGB auf zehn Jahre.</w:t>
      </w:r>
    </w:p>
    <w:p>
      <w:r>
        <w:t>Regeste Limitation dans le temps de la rente allouée en vertu de l'art. 151 al. 1 CC. L'épouse subit, du fait du divorce, un préjudice matériel correspondant à la perte d'une part de son droit à l'entretien dû par son mari dont le salaire, en l'occurrence, était appréciable, d'autre part de son droit aux prestations d'assurances sociales qui lui seraient revenues si elle était restée mariée. D'un autre côté, la demanderesse, quadragénaire et mère de deux enfants âgés respectivement de 17 et 19 ans, s'est déjà réinsérée dans la vie professionnelle; elle peut donc consacrer à son activité professionnelle le temps et les forces qu'elle ne doit plus à ses devoirs de maîtresse de maison et à d'autres tâches annexes, ce qui lui permet de réaliser un revenu suffisant. Il se justifie dès lors de limiter à 10 ans son droit à la rente qu'elle s'est vu allouer en vertu de l'art. 151 al. 1 CC.</w:t>
      </w:r>
    </w:p>
    <w:p>
      <w:r>
        <w:t>Regesto Limitazione nel tempo della rendita accordata ai sensi dell'art. 151 cpv. 1 CC. La moglie subisce, in seguito al divorzio, un pregiudizio materiale, dato che perde il diritto di essere mantenuta dal marito, il cui salario era nella fattispecie notevole, nonché il diritto alle prestazioni delle assicurazioni sociali che le sarebbero spettate se fosse rimasta coniugata. D'altro canto, l'attrice, poco più che quarantenne e madre di due figli rispettivamente di 17 e di 19 anni, già si è reinserita nella vita professionale. Essa può quindi consacrare all'attività professionale il tempo e le forze che non deve più destinare agli obblighi di casalinga e ai doveri connessi, ciò che le consente di realizzare un reddito sufficiente. Si giustifica pertanto di limitare a 10 anni il suo diritto alla rendita da accordarle in virtù dell'art. 151 cpv. 1 CC.</w:t>
      </w:r>
    </w:p>
    <w:p>
      <w:pPr>
        <w:pStyle w:val="Heading2"/>
      </w:pPr>
      <w:r>
        <w:t>Erwägungen</w:t>
      </w:r>
    </w:p>
    <w:p>
      <w:r>
        <w:rPr>
          <w:b/>
        </w:rPr>
        <w:t>E. 5</w:t>
      </w:r>
    </w:p>
    <w:p>
      <w:r>
        <w:t>Der Beklagte und Berufungskläger beantragt für den Fall, dass der Klägerin eine Rente zugebilligt werde, die Leistung auf fünf Jahre zu befristen. Zur Begründung führt er an, die Klägerin sei durch die Betreuung der Kinder nicht mehr gebunden, sei jung und gesund und sei schon während der Ehe einer Erwerbstätigkeit nachgegangen. Die Klägerin erziele ein für die Bestreitung ihres Lebensunterhaltes ausreichendes Einkommen und erleide durch die Ehescheidung keinerlei nennenswerte Nachteile. Gestützt auf die frühere Rechtsprechung des Bundesgerichts ( BGE 98 II 166 ) ist die Vorinstanz zur Auffassung gelangt, dass sich eine zeitliche Begrenzung der Unterhaltspflicht keinesfalls rechtfertigen lasse. Durch die Scheidung der Ehe, welche immerhin 16 Jahre gedauert habe und welcher der Sohn Marco entsprossen sei, erleide die Klägerin zweifellos eine zeitlich nicht befristete finanzielle Einbusse. Ihre Aussichten auf eine geeignete Arbeit und damit auch auf ein ausreichendes Einkommen würden sich mit zunehmendem Alter verschlechtern; daher würde ihre Existenzgrundlage nach der Scheidung weniger sicher sein als während der Ehe. Die jüngste Rechtsprechung des Bundesgerichts zu Art. 151 Abs. 1 ZGB fordert für jeden konkreten Fall, dass abgeklärt wird, ob eine geschiedene Frau trotz Kinderbetreuung sich auf längere Sicht eine wirtschaftliche Situation werde schaffen können, welche die durch die Scheidung erlittenen Nachteile auszugleichen vermag. Massgebliche Kriterien zur Beantwortung dieser Frage sind die Dauer der Ehe, die Schwere des Verschuldens des pflichtigen Ehegatten, das Alter und der Gesundheitszustand des BGE 110 II 225 S. 227 anspruchsberechtigten Gatten, seine Ausbildung, seine finanzielle Situation, die allgemeine Wirtschaftslage sowie die dem Gatten wieder offenstehende Möglichkeit, ganz oder teilweise einer Erwerbsarbeit nachzugehen ( BGE 109 II 289 ). Vor allem ist eine Übergangsrente vertretbar, wenn die Ehegatten noch jung und die Kinder nicht mehr klein sind und wenn der anspruchsberechtigte Gatte bereits wieder in das Erwerbsleben eingegliedert ist ( BGE 109 II 88 E. 3a, 186 f.). Im vorliegenden Fall hat die Ehe der Parteien immerhin 16 Jahre gedauert. Das Verschulden des Ehemannes an der Zerrüttung der Ehe wiegt schwer. Auch erleidet die Berufungsbeklagte durch die Scheidung zweifellos einen materiellen Schaden, da sie den Anspruch auf Unterhalt durch den gut verdienenden Gatten wie auch die Ansprüche, die ihr als Ehefrau gegenüber der Sozialversicherung zugestanden wären, verliert. Auf der anderen Seite steht fest, dass die Klägerin erst wenig über vierzig Jahre alt ist. Die Kinder sind 17- und 19jährig und somit nicht mehr auf die volle Betreuung durch die Mutter angewiesen. Was insbesondere den Beruf der Klägerin anbetrifft, ist sie als Coiffeuse ausgebildet und hat diese Tätigkeit wenigstens zeitweise auch während der Ehe ausgeübt. Um im Geschäft ihres Mannes mitarbeiten zu können, hat sie einen Schreibmaschinenkurs besucht. Sodann geht aus dem Urteil der Vorinstanz hervor, dass die Klägerin jetzt als Verkäuferin im Kaufhaus Vilan arbeitet; sie bezieht dort einen Brutto-Jahreslohn von Fr. 19'200.-. Die Berufungsbeklagte hat sich also im Berufsleben bereits wieder zurechtgefunden. Sie kann die Zeit und die Kraft, die sie durch den Wegfall der Haushaltführungs- und weiteren Beistandspflichten gewonnen hat, für berufliche Tätigkeit einsetzen und gelangt so zu einem ausreichenden Erwerbseinkommen. Es rechtfertigt sich deshalb, ihre Unterhaltsberechtigung gegenüber dem von ihr geschiedenen Ehemann zeitlich zu begrenzen. Immerhin lassen sich die - allgemein gehaltenen - Bedenken der Vorinstanz, mit zunehmendem Alter könnten sich die Verdienstmöglichkeiten der Klägerin verschlechtern, und der Einwand der Klägerin, sie hätte beim Fortbestand der Ehe nicht wieder eine ganztägige Berufstätigkeit aufnehmen müssen, nicht ganz von der Hand weisen. Diese Überlegungen rechtfertigen es, die Zeit, während welcher der Berufungskläger nach Massgabe von Art. 151 Abs. 1 ZGB unterhaltspflichtig ist, nicht zu kurz zu bemessen. Eine Befristung auf zehn Jahre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