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183</w:t>
      </w:r>
    </w:p>
    <w:p>
      <w:r>
        <w:t>Bundesgericht (BGE), 1984-01-01, IT</w:t>
      </w:r>
    </w:p>
    <w:p>
      <w:r>
        <w:rPr>
          <w:b/>
        </w:rPr>
        <w:t xml:space="preserve">Quelle: </w:t>
      </w:r>
      <w:r>
        <w:t>https://mcp.opencaselaw.ch/entscheid/bge_BGE_110_II_183</w:t>
      </w:r>
    </w:p>
    <w:p>
      <w:r>
        <w:t>FR: ATF 110 II 183</w:t>
      </w:r>
    </w:p>
    <w:p>
      <w:r>
        <w:t>IT: DTF 110 II 183</w:t>
      </w:r>
    </w:p>
    <w:p>
      <w:pPr>
        <w:pStyle w:val="Heading2"/>
      </w:pPr>
      <w:r>
        <w:t>Regeste</w:t>
      </w:r>
    </w:p>
    <w:p>
      <w:r>
        <w:t>Regeste Haftung einer Bank für die gegen den Willen des Verfügenden vorgenommene Berichtigung einer aufgrund eines doppeldeutigen Überweisungsauftrags erfolgten Übertragung von Werten (Art. 420 Abs. 3, 397 Abs. 1 u. 43 Abs. 1 OR). Eine Bank, die bestimmte Werte auf ein Nummernkonto überträgt und sich dafür auf einen doppeldeutigen, von einer andern Bank stellvertretend für den Verfügenden erteilten Überweisungsauftrag stützt, kann in der Folge die Übertragung nicht von sich aus rückgängig machen und die Ausführung des Überweisungsauftrags nicht gegen den Willen des Verfügenden ändern.</w:t>
      </w:r>
    </w:p>
    <w:p>
      <w:r>
        <w:t>Regeste Responsabilité d'une banque pour la rectification, opérée contre la volonté du donneur d'ordre, d'un transfert de valeurs effectué sur la base d'un ordre équivoque (art. 420 al. 3, 397 al. 1 et 43 al. 1 CO). Une banque qui transfère des valeurs déterminées sur un compte chiffré en se fondant sur un ordre équivoque donné par une autre banque, représentant le donneur d'ordre, ne peut pas user par la suite d'un droit d'extourner unilatéralement en modifiant l'exécution de l'ordre contre la volonté du donneur d'ordre lui-même.</w:t>
      </w:r>
    </w:p>
    <w:p>
      <w:r>
        <w:t>Regesto Responsabilità di una banca per la rettifica, eseguita contro la volontà del disponente, di un trasferimento valori effettuato in base a un ordine equivoco (art. 420 cpv. 3, 397 cpv. 1 e 43 cpv. 1 CO). Una banca che trasferisce determinati valori su un conto cifrato fondandosi su un ordine equivoco impartito da un'altra banca in rappresentanza del disponente non può, in seguito, valersi di un proprio diritto di storno e modificare l'esecuzione dell'ordine contro la volontà del disponente stesso.</w:t>
      </w:r>
    </w:p>
    <w:p>
      <w:pPr>
        <w:pStyle w:val="Heading2"/>
      </w:pPr>
      <w:r>
        <w:t>Erwägungen</w:t>
      </w:r>
    </w:p>
    <w:p>
      <w:r>
        <w:rPr>
          <w:b/>
        </w:rPr>
        <w:t>E. 1</w:t>
      </w:r>
    </w:p>
    <w:p>
      <w:r>
        <w:t>La corte cantonale ravvisa, in concreto, l'esistenza di un mandato (art. 394 segg. CO) inteso al trasferimento di determinati valori da Zurigo a Locarno; con lo storno dei lingotti dal conto n. 881.558.S1 al conto n. 595.060.0.8 Q la convenuta si sarebbe adeguata all'ordine originario impartito da A., l'operazione di giro bancario essendo del resto un negozio astratto, svincolato dalla causa giuridica alla base del mandato. I ricorrenti (la capacità processuale degli esecutori testamentari è fuori discussione: v. PIOTET, Droit successoral, in: Traité de droit privé suisse, vol. IV, pag. 139 et 150; GIUSEPPE TORRICELLI, L'esecutore testamentario in diritto svizzero, tesi, Berna 1951, pag. 196) ammettono che nel 1977 il mandato è stato svolto in modo imperfetto, ma sottolineano che, per quanto manchevole, simile adempimento è stato ratificato tacitamente (art. 25 cpv. 2 CO), né il titolare del conto beneficiato nel 1980 aveva il diritto di pretendere alcunché a norma dell'art. 112 CO, l'esecuzione del mandato essendosi esaurita nel 1977 e il mandato stesso estinto al più tardi nel 1978 giusta l'art. 405 CO.</w:t>
      </w:r>
    </w:p>
    <w:p>
      <w:r>
        <w:rPr>
          <w:b/>
        </w:rPr>
        <w:t>E. 2</w:t>
      </w:r>
    </w:p>
    <w:p>
      <w:r>
        <w:t>Dal punto di vista contrattuale la pretesa dei ricorrenti si fonda, come rileva la corte d'appello, su un rapporto di mandato conferito il 30 agosto 1977 alla banca C. I giudici di secondo grado BGE 110 II 183 S. 186 non si sono interrogati sulla figura del mandante e non hanno stabilito se l'ordine di trasferimento sia stato commesso da A. rappresentata direttamente dalla Banca B. di Zurigo, oppure dalla Banca B. quale rappresentante indiretto di A. La convenuta afferma invero di non essere mai stata legata ad A., bensì esclusivamente alla Banca B., unica legittimata a chiarire la destinazione dei lingotti; inoltre l'istituto di Zurigo non ha precisato a chi dovessero essere attribuiti i valori e si è limitato a inviare l'originale dell'ordine di trasferimento firmato da A., senza reagire allo scritto 22 maggio 1980 in cui la Banca C. comunicava di aver rimesso i 10 kg d'oro al titolare del conto n. 595.060.0.8 Q. a) Il termine auftrags impiegato nella distinta del 30 agosto 1977 non appare decisivo per individuare la persona del mandante, non bastando la circostanza che un soggetto dichiari di agire nell'ambito di un mandato per giudicare se egli operi alla stregua di un rappresentante diretto (GUHL/MERZ/KUMMER, Das schweizerische OR, 7a edizione, pag. 138; VON TUHR/PETER, Allgemeiner Teil des schweizerischen OR, vol. I, pag. 354 seg.; BUCHER, Schweizerisches OR, Allgemeiner Teil, pag. 548; KELLER/SCHÖBI, Allgemeine Lehren des Vertragsrechts, vol. I, pag. 60; VON BÜREN, Schweizerisches OR, Allgemeiner Teil, pag. 153; GAUCH/SCHLUEP/JÄGGI, Schweizerisches OR, Allgemeiner Teil, 3a edizione, n. 987) o indiretto (GUHL/MERZ/KUMMER, pag. 143; ENGEL, Traité des obligations en droit suisse, pag. 277). Comunque sia, il significato del termine auftrags, segnatamente nella prospettiva degli usi bancari, può rimanere indeciso dal momento che - lo si vedrà in seguito - la convenuta non poteva negligere le istruzioni fornite dall'erede di A. nemmeno ove l'ordine di trasferimento fosse stato emanato in proprio nome dalla Banca B. b) Anche in quest'ultima ipotesi non fa dubbio, intanto, che la Banca B. abbia diramato l'ordine di trasferimento nell'interesse di A. (art. 112 cpv. 1 CO), come si desume dalla distinta 30 agosto 1977. Ciò era chiaramente riconoscibile per la Banca C.: essa non poteva ignorare che l'istituto di Zurigo le affidava parte di un mandato emesso dalla comune cliente. Né poteva sfuggire alla convenuta, in un'occorrenza del genere, che la Banca B., pur fungendo da mandante, agiva espressamente per subdelega (auftrags). Ora, l'art. 399 cpv. 3 CO dispone che in caso di subdelega il mandante principale può far valere direttamente contro il mandatario subdelegato le azioni che contro lo stesso BGE 110 II 183 S. 187 competono al mandatario principale. In tali diritti è compresa sia la facoltà di revoca secondo l'art. 404 CO, sia quella di dare istruzioni sullo svolgimento dell'affare secondo gli art. 397 e 398 cpv. 2 CO (GAUTSCHI in: Berner Kommentar, 3a edizione, nota 10b ad art. 399 CO; HOFSTETTER, Der einfache Auftrag, in: Schweizerisches Privatrecht, vol. VII/2, pag. 75; OSER/SCHÖNENBERGER in: Zürcher Kommentar, 2a edizione, note 11 e 13 ad art. 399 CO). Nella specie la Banca C. sapeva che l'erede della mandante principale si opponeva al prospettato storno dei lingotti. Trasgredendo l'ordine della medesima, la convenuta si è posta nella situazione di dover rifondere il danno provocato (art. 420 cpv. 3 CO, rispettivamente art. 397 cpv. 1 CO). c) D'altro lato la Banca C. non può pretendere di aver sanato un fallace trasferimento di valori in virtù d'un diritto di storno. Essa potrebbe invocare simile possibilità qualora l'ordine di trasferimento fosse stato revocato, si fosse rivelato nullo o fosse stato eseguito in maniera erronea (KLEINER, Die allgemeinen Geschäftsbedingungen der Banken: Giro- und Kontokorrentvertrag, 2a edizione, Zurigo 1964, pag. 58 seg.; GUGGENHEIM, Les contrats de la pratique bancaire suisse, 2a edizione, Ginevra 1982, pag. 265 segg.; MEYER-CORDING, Das Recht der Banküberweisung, Tubinga 1971, pag. 98 segg.; CLAUS HELBIG, Die Giroüberweisung, deren Widerruf und Anfechtung nach deutschem und schweizerischem Recht, tesi, Ginevra 1970, pag. 129 segg.; HADDING/HÄUSER, Rechtsfragen des Giroverhältnisses, in: Zeitschrift für das gesamte Handelsrecht und Wissenschaft, vol. 145/1981, pag. 138 segg., in particolare pag. 154 seg.). Nulla di tutto questo si è verificato: anzi, nel 1977 la convenuta ha interpretato deliberatamente in un senso piuttosto che in un altro l'ordine equivoco redatto dalla Banca B. e nel 1980 l'erede della mandante principale ha negato ripetute volte il trasferimento dei lingotti sul conto intestato al dott. D. Non risulta neppure che la convenuta si sia giuridicamente impegnata a rimettere senza riserve i dieci lingotti al dott. D. (art. 112 cpv. 2 e 3 CO, art. 468 CO).</w:t>
      </w:r>
    </w:p>
    <w:p>
      <w:r>
        <w:rPr>
          <w:b/>
        </w:rPr>
        <w:t>E. 3</w:t>
      </w:r>
    </w:p>
    <w:p>
      <w:r>
        <w:t>Sotto il profilo dei diritti reali la pretesa dei ricorrenti si giustifica tanto come azione di rivendicazione (art. 641 cpv. 2 CC), quanto come azione di risarcimento in natura dei valori sottratti (art. 43 cpv. 1 CO). Nella sua veste di depositaria la convenuta ha tolto all'avente diritto dieci lingotti d'oro, disponendone a favore BGE 110 II 183 S. 188 di un terzo. I ricorrenti sono pertanto legittimati a chiedere la restituzione dei valori, subordinatamente la consegna di dieci lingotti d'oro da 1 kg in riparazione del danno subito (cfr. MEIER-HAYOZ in: Berner Kommentar, 5a edizione, note 61 e 62 ad art. 641 CC). Tale modo di rifusione si dimostra, nel caso in esame, il più adeguato e opportuno, premessa la facile reperibilità di lingotti d'oro sostitutivi.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