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97</w:t>
      </w:r>
    </w:p>
    <w:p>
      <w:r>
        <w:t>Bundesgericht (BGE), 1984-01-01, DE</w:t>
      </w:r>
    </w:p>
    <w:p>
      <w:r>
        <w:rPr>
          <w:b/>
        </w:rPr>
        <w:t xml:space="preserve">Quelle: </w:t>
      </w:r>
      <w:r>
        <w:t>https://mcp.opencaselaw.ch/entscheid/bge_BGE_110_III_97</w:t>
      </w:r>
    </w:p>
    <w:p>
      <w:r>
        <w:t>FR: ATF 110 III 97</w:t>
      </w:r>
    </w:p>
    <w:p>
      <w:r>
        <w:t>IT: DTF 110 III 97</w:t>
      </w:r>
    </w:p>
    <w:p>
      <w:pPr>
        <w:pStyle w:val="Heading2"/>
      </w:pPr>
      <w:r>
        <w:t>Regeste</w:t>
      </w:r>
    </w:p>
    <w:p>
      <w:r>
        <w:t>Regeste Art. 278 SchKG. Die Arrestprosequierungsklage muss die Forderung betreffen, für welche der Arrest bewilligt worden ist. Das Bundesrecht ermächtigt den Gläubiger nicht, mit dieser Klage auch andere Forderungen geltend zu machen.</w:t>
      </w:r>
    </w:p>
    <w:p>
      <w:r>
        <w:t>Regeste Art. 278 LP. L'action consécutive au séquestre doit concerner la créance pour laquelle le séquestre a été autorisé. Le droit fédéral n'autorise pas le créancier à faire valoir également d'autres créances, par cette action.</w:t>
      </w:r>
    </w:p>
    <w:p>
      <w:r>
        <w:t>Regesto Art. 278 LEF. L'azione per la convalida del sequestro deve concernere il credito per il quale è stato autorizzato il sequestro. Il diritto federale non legittima il creditore a far valere con detta azione anche altri crediti.</w:t>
      </w:r>
    </w:p>
    <w:p>
      <w:pPr>
        <w:pStyle w:val="Heading2"/>
      </w:pPr>
      <w:r>
        <w:t>Erwägungen</w:t>
      </w:r>
    </w:p>
    <w:p>
      <w:r>
        <w:rPr>
          <w:b/>
        </w:rPr>
        <w:t>E. 2</w:t>
      </w:r>
    </w:p>
    <w:p>
      <w:r>
        <w:t>Der Klägerin ist am 22. August 1978 für eine Forderung von US $ 80'000.--, die sie aus einer unbedingten Zahlungszusicherung BGE 110 III 97 S. 98 gemäss Fernschreiben der Beklagten vom 10. Oktober 1977 ableitete, in Zürich der Arrest bewilligt worden. Im Arrestprosequierungsprozess, den sie daraufhin gegen die Beklagte einleitete, verlangte sie neben dieser Summe mit separatem Begehren einen noch unbezifferten Schilling-Betrag für Verzugsschaden; in der Replik stützte sie sich überdies auf eine Provisionsforderung von US $ 350'000.--, die ihr von Weber abgetreten worden sei. Das Handelsgericht hat die zusätzlichen Begehren abgewiesen, weil weder der Verzugsschaden noch die Provisionsforderung Gegenstand des Arrestverfahrens gewesen sei und weil beides daher nicht mit der Arrestprosequierungsklage geltend gemacht werden könne. Die Provisionsforderung sei zudem bereits Gegenstand eines neuen Arrestprosequierungsprozesses beim Bezirksgericht Zürich. Das Klagebegehren wegen des Währungsverlustes sei am ordentlichen Gerichtsstand der Beklagten anzubringen und das Handelsgericht trotz deren Einlassung auf die Klage nicht verpflichtet, es anzunehmen; dieses Begehren erscheine übrigens als unbegründet. Das Kassationsgericht bestätigte die Unzuständigkeit des Handelsgerichts auch für die Provisionsforderung. Wer einen Arrest nehmen will, hat seine Forderung glaubhaft zu machen ( Art. 272 SchKG ). Die Forderung ist im Arrestbefehl anzugeben ( Art. 274 Abs. 2 Ziff. 2 SchKG ). Nach Betreibung und Rechtsvorschlag hat sodann der Gläubiger Klage auf Anerkennung seiner Forderung einzureichen, wenn er nicht schon vor der Bewilligung des Arrestes geklagt hat ( Art. 278 Abs. 2 und 3 SchKG ). Dem entspricht, dass die Klage die Arrestforderung betreffen muss ( BGE 93 III 77 ) und im Arrestprosequierungsprozess zu prüfen ist, ob diese materiellrechtlich begründet ist (FRITZSCHE, Schuldbetreibungs- und Konkursrecht, 2. Aufl. II S. 237). Das Bundesrecht gibt dem Gläubiger keinen Anspruch, in diesem Prozess eine Forderung geltend zu machen, die er auf andere tatsächliche oder rechtliche Gründe stützt, als sie im Arrestbefehl aufgeführt sind. Ob der Grundsatz der Prozessökonomie ein weiteres Entgegenkommen rechtfertigt, beurteilt sich nach kantonalem Prozessrecht. Vorliegend ist nach dem angefochtenen Urteil ein Gerichtsstand in Zürich für die Forderungen aus Verzugsschaden und aus Provisionen zu verneinen. Die Klägerin behauptet mit Recht nicht, dass das Handelsgericht in diesem Punkt Bundesrecht verletzt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