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32</w:t>
      </w:r>
    </w:p>
    <w:p>
      <w:r>
        <w:t>Bundesgericht (BGE), 1984-01-01, DE</w:t>
      </w:r>
    </w:p>
    <w:p>
      <w:r>
        <w:rPr>
          <w:b/>
        </w:rPr>
        <w:t xml:space="preserve">Quelle: </w:t>
      </w:r>
      <w:r>
        <w:t>https://mcp.opencaselaw.ch/entscheid/bge_BGE_110_III_32</w:t>
      </w:r>
    </w:p>
    <w:p>
      <w:r>
        <w:t>FR: ATF 110 III 32</w:t>
      </w:r>
    </w:p>
    <w:p>
      <w:r>
        <w:t>IT: DTF 110 III 32</w:t>
      </w:r>
    </w:p>
    <w:p>
      <w:pPr>
        <w:pStyle w:val="Heading2"/>
      </w:pPr>
      <w:r>
        <w:t>Regeste</w:t>
      </w:r>
    </w:p>
    <w:p>
      <w:r>
        <w:t>Regeste Rechtsvorschlag in der Wechselbetreibung; Hinterlegung der Forderungssumme (Art. 182 Ziff. 4 SchKG). Es ist nicht willkürlich, wenn der Richter nicht kotierte Obligationen ohne festen Kurswert nicht als genügende Hinterlage im Sinne von Art. 182 Ziff. 4 SchKG anerkannt und wenn er dem Schuldner, der bereits im Genuss einer kurzen Hinterlegungsfrist war, nicht noch eine Nachfrist zur Beibringung einer solchen Hinterlage ansetzt.</w:t>
      </w:r>
    </w:p>
    <w:p>
      <w:r>
        <w:t>Regeste Opposition dans la poursuite pour effet de change; dépôt préalable du montant de l'effet (art. 182 ch. 4 LP). Ne commet pas arbitraire le juge qui ne tient pas pour un dépôt suffisant au sens de l'art. 182 ch. 4 LP des obligations non cotées en bourse, sans cours fixe, et qui n'accorde pas un délai supplémentaire pour faire un dépôt au débiteur qui bénéficiait déjà d'un court délai à cette fin.</w:t>
      </w:r>
    </w:p>
    <w:p>
      <w:r>
        <w:t>Regesto Opposizione nell'esecuzione cambiaria; deposito della somma per cui si procede (art. 182 n. 4 LEF). Non incorre in arbitrio il giudice che non considera quale deposito sufficiente ai sensi dell'art. 182 n. 4 LEF quello di obbligazioni non quotate in borsa, prive di un corso fisso, e che non accorda un termine supplementare per effettuare il deposito al debitore che già beneficiava all'uopo di un breve termine.</w:t>
      </w:r>
    </w:p>
    <w:p>
      <w:pPr>
        <w:pStyle w:val="Heading2"/>
      </w:pPr>
      <w:r>
        <w:t>Erwägungen</w:t>
      </w:r>
    </w:p>
    <w:p>
      <w:r>
        <w:rPr>
          <w:b/>
        </w:rPr>
        <w:t>E. 2</w:t>
      </w:r>
    </w:p>
    <w:p>
      <w:r>
        <w:t>In der Beschwerde wird das Vorgehen des Rekursrichters aus drei Gründen als willkürlich beanstandet. Zunächst wird darauf hingewiesen, die Beschwerdeführerin sei der ihr gemachten Auflage mit der Hinterlegung der von ihr an die Kantonalbank gesandten Obligationen im Nominalwerte von Fr. 180'000.- zweifelsfrei nachgekommen, denn es sei nicht etwa die Hinterlegung von kotierten Wertschriften verlangt worden; sie habe deshalb in guten Treuen annehmen dürfen, dass sie mit den von ihr hinterlegten Obligationen die Auflage erfülle. Zudem ergebe sich aus dem Schreiben der Kantonalbank an den Rekursrichter vom 2. April 1984 in keiner Weise, dass die Hinterlage der Beschwerdeführerin ungenügend sei, werde doch darin nur ausgeführt, dass die Bank die Bonität der Skilift Rietbad - Alp Friessen AG nicht überprüfen könne; ohne eine solche Überprüfung könne aber selbstverständlich nicht von vorneherein angenommen werden, es sei keine genügende Hinterlage geleistet worden. Schliesslich wäre der Rekursrichter selbst im Falle des Ungenügens der geleisteten Hinterlage verpflichtet gewesen, der Beschwerdeführerin nochmals eine kurze Frist zur Hinterlegung eines zusätzlichen Barbetrages in der Höhe der Differenz zwischen Fr. 178'500.- und dem ermittelten Wert der hinterlegten Obligationen oder eventuell des ganzen Betrages in bar anzusetzen; das Vorgehen des Rekursrichters verstosse gegen den Grundsatz von Treu und Glauben, der auch im Zivilprozessrecht und im Schuldbetreibungs- und Konkursrecht uneingeschränkt gelte. Bei der in Art. 182 Ziff. 4 SchKG als Bedingung für die Bewilligung des Rechtsvorschlages vorgeschriebenen Hinterlegung der Forderungssumme in Geld oder Wertschriften handelt es sich nach einhelliger Auffassung in Rechtsprechung und Doktrin nicht um eine Sicherstellung im Sinne einer Pfandbestellung, sondern um eine antizipierte, bedingte Zahlung, die den Schuldner befreit ( BGE 104 III 96 E. 1, BGE 42 III 364 /365; vgl. ferner die im erstzitierten Entscheid angeführten Autoren sowie FRITZSCHE, Schuldbetreibung und Konkurs, Bd. II, S. 25). Da die Forderung aus der geleisteten Hinterlage sogleich muss beglichen werden BGE 110 III 32 S. 35 können, dürfen ausser Bargeld nur sofort realisierbare Wertschriften mit einem festen Kurswert akzeptiert werden, die nötigenfalls dem Gläubiger zum Tageskurs überlassen werden können (so JAEGER, N. 12 zu Art. 182 SchKG ). In der Beschwerde wird nicht etwa geltend gemacht, bei den von der Beschwerdeführerin deponierten Obligationen habe es sich um solche Wertschriften gehandelt. Dass dies nicht der Fall war, ergibt sich im übrigen aus dem Schreiben der Bank an den Rekursrichter vom 2. April 1984. Die betreffenden Obligationen wurden deshalb zu Recht nicht als genügende Hinterlage anerkannt. Es kann aber auch nicht als willkürlich betrachtet werden, dass der Rekursrichter die Beschwerdeführerin nicht noch besonders auf die Art der zu hinterlegenden Wertschriften hinwies, sondern sich mit der Wiedergabe des Gesetzestextes begnügte. Es wäre vielmehr Sache der Beschwerdeführerin gewesen, sich im Zweifelsfall beim Richter hierüber zu erkundigen, wenn sie es aus Sicherheitsgründen nicht vorziehen wollte, die Hinterlage in Geld zu leisten. Sie hat es deshalb selber zu vertreten, wenn sie das Risiko auf sich nahm, dass die deponierten Obligationen nicht als genügende Hinterlage akzeptiert würden. Willkür kann schliesslich auch darin nicht erblickt werden, dass der Beschwerdeführerin nicht noch eine Nachfrist angesetzt worden ist. Nach der Rechtsprechung des Bundesgerichts kann die Leistung der in Art. 182 Ziff. 4 SchKG vorgeschriebenen Hinterlage ohne Willkür sogar bis zur Urteilsfällung in der erstinstanzlichen Verhandlung über die Bewilligung des Rechtsvorschlages verlangt, d.h. von der Ansetzung einer kurzen Hinterlegungsfrist überhaupt abgesehen werden ( BGE 104 III 96 ff. E. 2). Um so weniger kann es aber willkürlich sein, wenn der zweitinstanzliche Richter, der eine kurze Hinterlegungsfrist gewährt hat, von der Ansetzung einer Nachfrist absieht.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