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110 III 27</w:t>
      </w:r>
    </w:p>
    <w:p>
      <w:r>
        <w:t>Bundesgericht (BGE), 1984-01-01, DE</w:t>
      </w:r>
    </w:p>
    <w:p>
      <w:r>
        <w:rPr>
          <w:b/>
        </w:rPr>
        <w:t xml:space="preserve">Quelle: </w:t>
      </w:r>
      <w:r>
        <w:t>https://mcp.opencaselaw.ch/entscheid/bge_BGE_110_III_27</w:t>
      </w:r>
    </w:p>
    <w:p>
      <w:r>
        <w:t>FR: ATF 110 III 27</w:t>
      </w:r>
    </w:p>
    <w:p>
      <w:r>
        <w:t>IT: DTF 110 III 27</w:t>
      </w:r>
    </w:p>
    <w:p>
      <w:pPr>
        <w:pStyle w:val="Heading2"/>
      </w:pPr>
      <w:r>
        <w:t>Regeste</w:t>
      </w:r>
    </w:p>
    <w:p>
      <w:r>
        <w:t>Regeste Pfändungsanschluss bei der Arrestbetreibung (Art. 52, 110 SchKG). Bei der Arrestbetreibung setzt der Pfändungsanschluss voraus, dass sich der Arrest auf in der Hauptpfändung mit Beschlag belegte Vermögenswerte erstreckt, dass der Arrest durch Einleitung der Betreibung prosequiert und dass im Rahmen dieser Betreibung innert der Frist des Art. 110 Abs. 1 SchKG das Pfändungsbegehren gestellt wurde.</w:t>
      </w:r>
    </w:p>
    <w:p>
      <w:r>
        <w:t>Regeste Participation à la saisie en cas de poursuite en validation de séquestre (art. 52, 110 LP). En cas de poursuite en validation de séquestre, la participation à la saisie implique que le séquestre s'étend aux biens saisis lors de la première saisie, que le séquestre a été validé par l'ouverture de la poursuite et que, dans le cadre de cette poursuite, la réquisition de saisie a été déposée dans le délai de l'art. 110 al. 1 LP.</w:t>
      </w:r>
    </w:p>
    <w:p>
      <w:r>
        <w:t>Regesto Partecipazione al pignoramento in caso di esecuzione per convalida di sequestro (art. 52, 110 LEF). In caso di esecuzione per convalida di sequestro, la partecipazione al pignoramento presuppone che il sequestro si estenda ai beni pignorati in occasione del primo pignoramento, che il creditore sequestrante abbia convalidato il sequestro promuovendo l'esecuzione e che, nel quadro di quest'ultima, egli abbia presentato la domanda di pignoramento nel termine di cui all'art. 110 cpv. 1 LEF.</w:t>
      </w:r>
    </w:p>
    <w:p>
      <w:pPr>
        <w:pStyle w:val="Heading2"/>
      </w:pPr>
      <w:r>
        <w:t>Erwägungen</w:t>
      </w:r>
    </w:p>
    <w:p>
      <w:r>
        <w:rPr>
          <w:b/>
        </w:rPr>
        <w:t>E. 1</w:t>
      </w:r>
    </w:p>
    <w:p>
      <w:r>
        <w:t>Das Obergericht hat festgehalten, der Anschluss an die Pfändung der Rekursgegnerin könne der Rekurrentin nicht gewährt werden, weil sie den Arrest Nr. 86/83 nicht prosequiert habe und weil in der Betreibung Nr. 1391/81 andere Vermögenswerte erfasst worden seien als in der von der Rekursgegnerin eingeleiteten Betreibung Nr. 2563/80. Was die Rekurrentin hiergegen vorbringt, ist nicht geeignet, den vorinstanzlichen Entscheid als bundesrechtswidrig erscheinen zu lassen: a) Ihr Hinweis auf BGE 101 III 78 ff. ist von vornherein unbehelflich. Wohl hielt das Bundesgericht in jenem Entscheid fest, dass ein Arrestgläubiger, der einen bereits gepfändeten Gegenstand arrestieren lasse, zur Teilnahme an der entsprechenden Pfändung berechtigt sei, sofern er innert der dreissigtägigen Frist gemäss Art. 110 Abs. 1 SchKG das Fortsetzungsbegehren stelle (a.a.O. S. 81 E. 2). Der Sachverhalt, der jenem Urteil zugrunde gelegen hatte, unterschied sich indessen wesentlich vom vorliegenden, hatte doch dort der Arrestgläubiger die Pfändung in einem zur Arrestprosequierung eingeleiteten Betreibungsverfahren verlangt. Unter Hinweis auf frühere Urteile hat das Bundesgericht in BGE 101 III 81 E. 2 denn auch ausdrücklich festgehalten, dass die Arrestierung als solche dem Arrestgläubiger keinen Anspruch auf Teilnahme an einer bereits vor der Arrestnahme vollzogenen Pfändung verleihe. b) Die Rekurrentin geht davon aus, dass angesichts der nach wie vor hängigen, zur Prosequierung des Arrestes Nr. 48/81 eingeleiteten Betreibung Nr. 1391/81 auch der Arrest Nr. 86/83 als rechtsgenügend prosequiert zu gelten habe; die Einleitung einer neuen Betreibung sei deshalb nicht nötig. Dem ist nicht beizupflichten. Nach ständiger Rechtsprechung können im Rahmen einer Arrestbetreibung gemäss Art. 52 SchKG nur die arrestierten Vermögenswerte gepfändet werden ( BGE 90 III 80 ; AMONN, Grundriss des Schuldbetreibungs- und Konkursrechts, 3. A., § 10 N. 19, S. 86). Anders verhält es sich nur dann, wenn der Arrestort mit dem (schweizerischen) Wohnsitz des Schuldners, d.h. mit dem allgemeinen Betreibungsort, zusammenfällt, was bei einem Arrest gegen einen im Ausland wohnenden Schuldner von vornherein ausgeschlossen ist. Die Betreibung Nr. 1391/81 konnte nach dem Gesagten nur zur Pfändung der im Arrest Nr. 48/81 mit Beschlag belegten Vermögenswerte führen. Um eine Pfändung der vom Arrest Nr. 86/83 BGE 110 III 27 S. 30 erfassten Vermögenswerte und den Anschluss an die Pfändung in der Betreibung Nr. 2563/80 der Rekursgegnerin zu erwirken, hätte die Rekurrentin eine neue Betreibung im Sinne von Art. 278 Abs. 1 SchKG einleiten müssen. Dass die Arrest- bzw. Betreibungsforderung in beiden Fällen die gleiche ist und dass diese Forderung der Rekurrentin durch rechtskräftiges Urteil zugesprochen worden ist, vermag daran nichts zu ändern. Unerheblich ist ferner auch die Tatsache, dass die Arrestorte identisch sind. Wenn das Bundesgericht in BGE 54 III 226 ff. entschied, bei mehreren Arresten sei je eine eigene Betreibung einzuleiten, so lag dies letztlich nicht darin begründet, dass in jenem Fall die Arreste an verschiedenen Orten, sondern dass sie nicht am Wohnort des Schuldners als dem allgemeinen Betreibungsort vollzogen worden waren.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