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20</w:t>
      </w:r>
    </w:p>
    <w:p>
      <w:r>
        <w:t>Bundesgericht (BGE), 1984-01-01, DE</w:t>
      </w:r>
    </w:p>
    <w:p>
      <w:r>
        <w:rPr>
          <w:b/>
        </w:rPr>
        <w:t xml:space="preserve">Quelle: </w:t>
      </w:r>
      <w:r>
        <w:t>https://mcp.opencaselaw.ch/entscheid/bge_BGE_110_III_20</w:t>
      </w:r>
    </w:p>
    <w:p>
      <w:r>
        <w:t>FR: ATF 110 III 20</w:t>
      </w:r>
    </w:p>
    <w:p>
      <w:r>
        <w:t>IT: DTF 110 III 20</w:t>
      </w:r>
    </w:p>
    <w:p>
      <w:pPr>
        <w:pStyle w:val="Heading2"/>
      </w:pPr>
      <w:r>
        <w:t>Regeste</w:t>
      </w:r>
    </w:p>
    <w:p>
      <w:r>
        <w:t>Regeste Pfändung eines umstrittenen Lohnes. Die Betreibungsinstanzen sind nicht zuständig, um die umstrittene Höhe der Lohnforderung des Betriebenen gegenüber seinem Arbeitgeber zu bestimmen. Stimmen die Lohnangaben von Arbeitnehmer und Arbeitgeber nicht überein, oder bestehen Indizien dafür, dass deren übereinstimmenden Angaben unzutreffend sind, muss das Betreibungsamt den Lohn gemäss den Angaben des Betreibenden als bestrittene Forderung pfänden.</w:t>
      </w:r>
    </w:p>
    <w:p>
      <w:r>
        <w:t>Regeste Saisie d'un salaire dont le montant est contesté. Les autorités de poursuite ne sont pas compétentes pour déterminer, en cas de contestation, le montant de la créance de salaire qu'a le poursuivi contre son employeur. Lorsque les indications que fournissent le travailleur et l'employeur à cet égard ne concordent pas, ou lorsqu'il existe certains indices permettant de penser que les indications concordantes fournies par ceux-ci sont en fait inexactes, l'Office doit saisir le salaire selon les indications du poursuivant en tant que créance contestée.</w:t>
      </w:r>
    </w:p>
    <w:p>
      <w:r>
        <w:t>Regesto Pignoramento di un salario il cui ammontare è contestato. Le autorità d'esecuzione non sono competenti a determinare, in caso di contestazione, l'ammontare del credito che l'escusso ha, a titolo di salario, nei confronti del suo datore di lavoro. Ove le indicazioni fornite al proposito dal lavoratore e dal datore di lavoro divergano od ove esistano indizi tali da far presumere che le indicazioni concordanti fornite siano in realtà inesatte, l'Ufficio deve pignorare il salario secondo le indicazioni del creditore procedente, quale credito contestato.</w:t>
      </w:r>
    </w:p>
    <w:p>
      <w:pPr>
        <w:pStyle w:val="Heading2"/>
      </w:pPr>
      <w:r>
        <w:t>Erwägungen</w:t>
      </w:r>
    </w:p>
    <w:p>
      <w:r>
        <w:rPr>
          <w:b/>
        </w:rPr>
        <w:t>E. 1</w:t>
      </w:r>
    </w:p>
    <w:p>
      <w:r>
        <w:t>Die obere kantonale Aufsichtsbehörde ging davon aus, dass es nicht Aufgabe des Betreibungsamtes sein könne, über die Einkommens- und Vermögensverhältnisse des Schuldners ausgedehnten Beweis zu führen. Im vorliegenden Fall könnten aber die Lohnangaben des Schuldners nicht stimmen. Der behauptete Lohn sei weder der Arbeitsleistung des Schuldners als Geschäftsführer noch den Geschäftsverhältnissen (Fr. 1,2 bis 1,4 Millionen Umsatz pro Jahr) angemessen. Auch müsse man sich fragen, wie der Schuldner bei den behaupteten Einkommensverhältnissen seinen Rechtsanwalt für die verschiedenen Verfahren in bezug auf die vorliegende Betreibung bezahlen könne, da er ja nicht im Armenrecht prozessiere. Es müsse davon ausgegangen werden, dass er entweder einen bedeutend grösseren Lohn beziehe oder aber die Bezüge aus der Familien - AG bewusst und ungerechtfertigterweise niedrig halte, um seinen Schuldnerverpflichtungen nicht nachkommen zu müssen. Unter diesen Umständen rechtfertige es sich, den gesamten gemäss Lohnausweis ausbezahlten Lohn von Fr. 1'350.- und die Hälfte des Lohnes der Ehefrau, die sie an die ehelichen Lasten beizutragen habe, zu pfänden.</w:t>
      </w:r>
    </w:p>
    <w:p>
      <w:r>
        <w:rPr>
          <w:b/>
        </w:rPr>
        <w:t>E. 2</w:t>
      </w:r>
    </w:p>
    <w:p>
      <w:r>
        <w:t>Das Betreibungsamt hat im Rahmen einer Lohnpfändung von Amtes wegen die tatsächlichen Verhältnisse soweit als möglich abzuklären. Es hat insbesondere zu prüfen, ob der Schuldner tatsächlich Lohnbezüger ist oder ob nicht anstelle einer Lohn- eine Verdienstpfändung vorzunehmen ist ( BGE 106 III 13 E. 2). Hingegen kann das Betreibungsamt nicht über streitige Rechte entscheiden und zwar ohne Rücksicht darauf, ob es sich dabei um den Bestand der in Betreibung gesetzten Forderung oder um das Eigentum einer gepfändeten Sache handle. Ist der Bestand oder Umfang eines Rechtes streitig, hat das Betreibungsamt die Parteien an den Richter zu verweisen. Die Aufsichtsbehörden haben diesbezüglich keine grössere Kompetenz ( BGE 107 III 39 f.). Das hat zur Folge, dass das Betreibungsamt und die Aufsichtsbehörden nicht zuständig sind, um bei einer Lohnpfändung die - umstrittene - Höhe BGE 110 III 20 S. 23 der Lohnforderung des Betriebenen gegenüber seinem Arbeitgeber zu bestimmen. Das Betreibungsamt hat sich vielmehr an die übereinstimmenden Lohnangaben des betriebenen Arbeitnehmers und dessen Arbeitgebers zu halten. Stimmen deren Angaben nicht überein, oder bestehen Indizien dafür, dass die übereinstimmenden Angaben unzutreffend sind, muss das Betreibungsamt den Lohn als bestrittene Forderung pfänden. Dabei kann es nicht selbst die Höhe der bestrittenen Forderung festsetzen, sondern muss sich an die Angaben des Betreibenden halten, die es nötigenfalls mit der Zusendung des Formulars 11 zu erhalten versucht ( BGE 106 III 14 mit Verweisungen, vgl. auch AMONN, Grundriss des Schuldbetreibungs- und Konkursrechts, 3. Aufl. § 23, N. 66, S. 187). Der Rekurrent verlangt zu Recht die Durchführung dieses von der unteren kantonalen Aufsichtsbehörde angeordneten Verfahrens. Die beiden kantonalen Aufsichtsbehörden haben sich zwar richtigerweise geweigert, das Betreibungsamt anzuweisen, bei der Ausgleichskasse des Betriebenen und beim Postcheckamt Nachforschungen über die Lohnverhältnisse anzustellen. Der Richter ist aber nicht nur allein zuständig, entsprechende Beweise zu erheben, sondern auch für das Festsetzen des von einem am Betreibungsverfahren unbeteiligten Dritten, nämlich vom Arbeitgeber des Betriebenen, geschuldeten Lohnes. Die Vorinstanz hat mithin Bundesrecht verletzt, indem sie die Lohnforderung des Rekurrenten gegenüber seiner Arbeitgeberin festsetzte.</w:t>
      </w:r>
    </w:p>
    <w:p>
      <w:r>
        <w:rPr>
          <w:b/>
        </w:rPr>
        <w:t>E. 3</w:t>
      </w:r>
    </w:p>
    <w:p>
      <w:r>
        <w:t>Der Rekursgegner beruft sich zu Unrecht auf Art. 91 SchKG , um darzulegen, dass das Betreibungsamt die erforderlichen Nachforschungen zur Festsetzung der Lohnforderung des Rekurrenten hätte anstellen können. Diese gesetzliche Bestimmung erlaubt es dem Betreibungsamt nur, den Betriebenen oder allenfalls dessen Schuldner oder dritte Gewahrsinhaber einzuvernehmen. Falschangaben bei dieser Einvernahme werden gemäss Art. 164 StGB bestraft. Im vorliegenden Fall hat das Betreibungsamt den Betriebenen und seinen Arbeitgeber einvernommen. Die Organe der Ausgleichskasse und des Postcheckamtes hätte es nur einvernehmen dürfen, wenn die Forderungen gegen diese Dritten gepfändet worden wären. Für die AHV-Beiträge ist eine solche Pfändung ausgeschlossen, und bezüglich des Postcheckkontos hat der Rekursgegner nie dargelegt, der Rekurrent sei Inhaber eines solchen Kontos. Überdies dürfte das Postcheckamt in diesem Fall bloss über den Kontostand Auskunft erteilen, nicht aber über die einzelnen Ein- und Auszahlungen. Dispositiv Demnach erkennt die Schuldbetreibungs- und Konkurskammer: Der Rekurs wird gutgeheissen, der angefochtene Entscheid der Schuldbetreibungs- und Konkurskommission des Obergerichts des Kantons Aargau aufgehoben und das Betreibungsamt Spreitenbach angewiesen, den vom Gläubiger im Formular Nr. 11 anzugebenden Betrag als bestrittene Forderung zu pfänden.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