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112</w:t>
      </w:r>
    </w:p>
    <w:p>
      <w:r>
        <w:t>Bundesgericht (BGE), 1984-01-01, DE</w:t>
      </w:r>
    </w:p>
    <w:p>
      <w:r>
        <w:rPr>
          <w:b/>
        </w:rPr>
        <w:t xml:space="preserve">Quelle: </w:t>
      </w:r>
      <w:r>
        <w:t>https://mcp.opencaselaw.ch/entscheid/bge_BGE_110_III_112</w:t>
      </w:r>
    </w:p>
    <w:p>
      <w:r>
        <w:t>FR: ATF 110 III 112</w:t>
      </w:r>
    </w:p>
    <w:p>
      <w:r>
        <w:t>IT: DTF 110 III 112</w:t>
      </w:r>
    </w:p>
    <w:p>
      <w:pPr>
        <w:pStyle w:val="Heading2"/>
      </w:pPr>
      <w:r>
        <w:t>Regeste</w:t>
      </w:r>
    </w:p>
    <w:p>
      <w:r>
        <w:t>Regeste Art. 217 SchKG; Art. 61 KOV. Art. 217 SchKG ist auf kollozierte Forderungen anwendbar, für welche ganz oder zum Teil im Eigentum eines Dritten stehende Gegenstände als Pfand haften. Der Drittpfandeigentümer ist gleich gestellt wie ein rückgriffsberechtigter Mitverpflichteter im Sinne von Art. 217 Abs. 3 SchKG.</w:t>
      </w:r>
    </w:p>
    <w:p>
      <w:r>
        <w:t>Regeste Art. 217 LP; art. 61 OOF. L'art. 217 LP est applicable aux créances colloquées garanties par des objets qui sont en partie ou en totalité la propriété d'un tiers. Le tiers propriétaire des biens remis en gage est assimilé à un coobligé ayant droit de recours au sens de l'art. 217 al. 3 LP.</w:t>
      </w:r>
    </w:p>
    <w:p>
      <w:r>
        <w:t>Regesto Art. 217 LEF; art. 61 RUF. L'art. 217 LEF è applicabile ai crediti iscritti nella graduatoria e garantiti integralmente o in parte da oggetti di proprietà di un terzo. Il terzo proprietario dell'oggetto costituito in pegno è assimilato ad un coobbligato avente diritto di regresso, ai sensi dell'art. 217 cpv. 3 LEF.</w:t>
      </w:r>
    </w:p>
    <w:p>
      <w:pPr>
        <w:pStyle w:val="Heading2"/>
      </w:pPr>
      <w:r>
        <w:t>Erwägungen</w:t>
      </w:r>
    </w:p>
    <w:p>
      <w:r>
        <w:rPr>
          <w:b/>
        </w:rPr>
        <w:t>E. 1</w:t>
      </w:r>
    </w:p>
    <w:p>
      <w:r>
        <w:t>Die Rekurrenten teilen mit der kantonalen Aufsichtsbehörde die Auffassung, dass ein rechtskräftiger Kollokationsplan grundsätzlich unabänderlich sei. Sie stellen sich aber auf den Standpunkt, im vorliegenden Fall müsse die Abänderung des Kollokationsplanes möglich sein; denn die Drittpfandeigentümer seien zugleich Schuldner gegenüber der Masse, und diese müsste gegenüber den Drittpfandeigentümern Verrechnung geltend machen können, insoweit sie durch Subrogation in die Rechte des Schweizerischen Bankvereins eingetreten seien. Das wiederum habe zur Folge, dass die vom Schweizerischen Bankverein angemeldete Forderung bei der Kollokation entsprechend vermindert werden müsse. Es erübrigt sich hier, zu prüfen, ob und unter welchen Voraussetzungen ein in Rechtskraft erwachsener Kollokationsplan abgeändert werden kann. Eine Abänderung, wie sie die Rekurrenten in dem hier zu beurteilenden Fall verlangen, würde nämlich auf jeden Fall die Rechte des Pfandgläubigers beeinträchtigen und ist unter dem Blickwinkel von Art. 217 SchKG sowie von Art. 61 der Verordnung vom 13. Juli 1911 über die Geschäftsführung der Konkursämter (SR 281.32 - KOV) unzulässig. a) Entgegen der Auffassung der Rekurrenten ist Art. 217 SchKG auf kollozierte Forderungen, für welche ganz oder zum Teil im Eigentum eines Dritten stehende Gegenstände haften, anwendbar; Art. 61 KOV kann und will den Rahmen der erwähnten Gesetzesvorschrift nicht sprengen. Der auf die Forderung entfallende Anteil an der Masse steht dem Gläubiger bis zu seiner vollständigen Befriedigung zu. Erst wenn dessen Forderung gedeckt ist, kommt der Überschuss den Drittpfandeigentümern zugute ( BGE 60 III 217 ff.). Insofern sind die Drittpfandeigentümer BGE 110 III 112 S. 114 also gleich gestellt wie rückgriffsberechtigte Mitverpflichtete im Sinne von Art. 217 Abs. 3 SchKG . b) Infolgedessen verlangen die Rekurrenten vergeblich die Abänderung des Kollokationsplanes mit der Begründung, der Schweizerische Bankverein habe bei der Verwertung von Drittpfändern einen Erlös erzielt. Dieser Umstand wirkt sich auf die Kollokation nicht aus; und dem Liquidator (oder dem Gläubigerausschuss) kommt denn auch die Befugnis nicht zu, den angemeldeten Forderungsbetrag um die eingehenden Zahlungen herabzusetzen ( BGE 96 III 43 E. 2b). Erst in dem Augenblick, wo die Auszahlung der Nachlassdividende erfolgt, wird sich herausstellen, ob die dem Schweizerischen Bankverein zukommende Dividende und der von ihm durch die Pfandverwertung erzielte Erlös zusammen seine angemeldete Forderung überschreiten. Sollte dies eintreten, so könnten die Drittpfandeigentümer für den die Forderung überschreitenden Betrag ihre kraft Subrogation bestehenden Ansprüche geltend machen; und unter dieser Voraussetzung könnte die Masse im Augenblick der Verteilung der Dividende ihre Verrechnungsansprüche gegen die Drittpfandeigentümer, die auch ihre Schuldner sind, geltend machen ( BGE 96 III 44 E. 2c). Im gegenwärtigen Verfahrensstadium jedoch kann diesen Verrechnungsansprüchen nicht Rechnung getragen werden; es ist deshalb auch nicht möglich, sie als neue Tatsachen rechtlich zu würdigen.</w:t>
      </w:r>
    </w:p>
    <w:p>
      <w:r>
        <w:rPr>
          <w:b/>
        </w:rPr>
        <w:t>E. 2</w:t>
      </w:r>
    </w:p>
    <w:p>
      <w:r>
        <w:t>Es verhält sich auch nicht etwa so, dass der Schweizerische Bankverein dadurch, dass er den Liquidator über den eingegangenen Erlös unterrichtete, auf einen Teil seiner Forderung verzichtet hätte. Zwar hat die Masse ein berechtigtes Interesse, von dem Erlös in Kenntnis gesetzt zu werden, den der Pfandgläubiger erzielt, weil dieser darauf nur Anspruch bis zu seiner vollen Befriedigung hat ( Art. 217 Abs. 3 SchKG ). Unter diesem Gesichtspunkt hätte der Liquidator die Abrechnung, die ihm in dem hier zu beurteilenden Fall offenbar aus freien Stücken zugestellt worden ist, sogar verlangen können ( BGE 96 III 43 E. 2a). Doch hat sich der Schweizerische Bankverein damit, dass er dem Liquidator den Betrag des Verwertungserlöses mitteilte, nicht auch damit einverstanden erklärt, dass dieser von der angemeldeten und zugelassenen Forderung nachträglich abgezogen werde ( BGE 96 III 44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