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99 vom 1. Januar 1984</w:t>
      </w:r>
    </w:p>
    <w:p>
      <w:r>
        <w:t>Bundesgericht (BGE), 1984-01-01, DE</w:t>
      </w:r>
    </w:p>
    <w:p>
      <w:r>
        <w:rPr>
          <w:b/>
        </w:rPr>
        <w:t xml:space="preserve">Quelle: </w:t>
      </w:r>
      <w:r>
        <w:t>https://mcp.opencaselaw.ch/entscheid/bge_BGE_110_IB_99</w:t>
      </w:r>
    </w:p>
    <w:p>
      <w:r>
        <w:t>FR: BGE BGE 110 IB 99 du 1 janvier 1984</w:t>
      </w:r>
    </w:p>
    <w:p>
      <w:r>
        <w:t>IT: BGE BGE 110 IB 99 del 1 gennaio 1984</w:t>
      </w:r>
    </w:p>
    <w:p>
      <w:pPr>
        <w:pStyle w:val="Heading2"/>
      </w:pPr>
      <w:r>
        <w:t>Regeste</w:t>
      </w:r>
    </w:p>
    <w:p>
      <w:r>
        <w:t>Regeste Art. 48 lit. a VwVG und Art. 103 OG. Lärmimmissionen aus Schiessbetrieb; Legitimation zur Einsprache. Vom Entscheid, eine Schiessanlage zu erstellen oder auszubauen und die nachbarlichen Abwehrrechte gegen die Lärmimmissionen aus dem Schiessbetrieb zu enteignen, werden nicht nur die Nachbarn berührt, auf deren Grundstücken der Schiesslärm die Alarmwerte erreicht. Berührt und einsprachelegitimiert sind vielmehr all jene, die in der Nähe der Schiessanlage wohnen, den Schiesslärm deutlich wahrnehmen und dadurch in ihrer Ruhe gestört werden.</w:t>
      </w:r>
    </w:p>
    <w:p>
      <w:r>
        <w:t>Regeste Art. 48 lettre a LPA et 103 OJ. Bruits provenant d'un stand de tir; qualité pour former opposition. La décision de construire ou d'agrandir un stand de tir et d'exproprier les droits des voisins de s'opposer aux émissions de bruit ne touche pas seulement les voisins sur les propriétés desquels le bruit des tirs atteint les valeurs d'alarme. Sont également touchés et, partant, ont qualité pour former opposition tous ceux qui habitent au voisinage du stand, perçoivent distinctement le bruit des tirs et sont ainsi troublés dans leur repos.</w:t>
      </w:r>
    </w:p>
    <w:p>
      <w:r>
        <w:t>Regesto Art. 48 lett. a PA e 103 OG. Immissioni acustiche provenienti da una piazza di tiro; legittimazione a fare opposizione. La decisione di costruire o di ampliare una piazza di tiro e di espropriare i diritti dei vicini di opporsi alle immissioni acustiche non toccca soltanto i vicini sui cui fondi le immissioni acustiche causate dagli spari raggiungono il livello d'allarme. Sono altresì toccati, e quindi legittimati a fare opposizione, tutti coloro che abitano nelle vicinanze della piazza di tiro, che odono distintamente gli spari e il cui riposo è pertanto turbato.</w:t>
      </w:r>
    </w:p>
    <w:p>
      <w:pPr>
        <w:pStyle w:val="Heading2"/>
      </w:pPr>
      <w:r>
        <w:t>Erwägungen</w:t>
      </w:r>
    </w:p>
    <w:p>
      <w:r>
        <w:rPr>
          <w:b/>
        </w:rPr>
        <w:t>E. 1</w:t>
      </w:r>
    </w:p>
    <w:p>
      <w:r>
        <w:t>Das Eidgenössische Militärdepartement führt im angefochtenen Entscheid aus, dem Beschwerdeführer stehe aufgrund von Art. 48 lit. a VwVG und Art. 103 lit. a OG kein Anspruch auf Teilnahme am enteignungsrechtlichen Einspracheverfahren zu. Zur Einsprache gegen die Enteignung nachbarlicher Abwehrrechte gegenüber Lärmeinwirkungen von Schiessanlagen seien nur jene Eigentümer befugt, auf deren Grundstücke der Schiesslärm die Alarmwerte erreiche. Dieser Auffassung kann jedoch nicht gefolgt werden. a) Nach Art. 48 lit. a VwVG und Art. 103 OG ist zur Beschwerde bzw. zur Einsprache berechtigt, wer durch die angefochtene Verfügung berührt ist und ein schutzwürdiges Interesse an deren BGE 110 Ib 99 S. 101 Aufhebung oder Änderung hat. Dieses Interesse kann rechtlicher oder auch bloss tatsächlicher Natur sein und braucht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104 Ib 247 ff.; 108 Ib 93 , 250). b) Die im Rahmen der Vorarbeiten für das Bundesgesetz über den Umweltschutz eingesetzte "Expertenkommission für die Beurteilung von Lärmimmissionsgrenzwerten" hat 1979 in einem ersten Teilbericht die Belastungsgrenzen für den Strassenverkehrslärm, 1980 im zweiten Teilbericht die Immissionsgrenzwerte sowie die Alarm- und Planungswerte für den Lärm ziviler Schiessanlagen festgelegt. Die Lärmimmissionsgrenzwerte sind gemäss Art. 15 des Bundesgesetzes über den Umweltschutz vom 7. Oktober 1983 so zu bestimmen, dass Immissionen unterhalb dieser Werte nach dem Stand der Wissenschaft und der Erfahrung die Bevölkerung in ihrem Wohlbefinden nicht erheblich stören. Bereits vorhandene Beeinträchtigungen über diesen Werten sind grundsätzlich zu vermindern. Für neue Anlagen, von denen Lärm ausgeht, gelten die Immissionsgrenzwerte als Höchstwerte, die beim Betroffenen nicht überschritten werden dürfen. Der über dem Immissionsgrenzwert liegende Alarmwert dient in erster Linie als Kriterium für die Dringlichkeit von Sanierungen. Immissionen über dem Alarmwert gelten als unzulässig, als extrem (erster Teilbericht, S. 22 f., zweiter Teilbericht, S. 23 ff.; Art. 19 des Umweltschutzgesetzes). Die Alarmwerte für zivile Schiessanlagen sind von der Expertenkommission je nach Intensität des Schiessbetriebes und der Empfindlichkeit des betroffenen Gebietes auf 60 bis 95 dB (A) festgesetzt worden und liegen 10 bis 15 dB (A) über den entsprechenden Immissionsgrenzwerten (zweiter Teilbericht, S. 31). c) Aus der Umschreibung des Alarmwertes ergibt sich bereits, dass dieser kein Kriterium für die Anfechtungsbefugnis gemäss Art. 48 lit. a VwVG und Art. 103 lit. a OG sein kann - ganz abgesehen davon, dass die Legitimation schon aus praktischen Gründen nicht an Voraussetzungen geknüpft werden sollte, deren Vorliegen nur aufgrund technisch aufwendiger und kostspieliger Abklärungen festgestellt werden kann. Vom Beschluss, eine Schiessanlage zu erstellen oder auszubauen und die nachbarlichen Abwehrrechte gegen die Immissionen aus dem Schiessbetrieb zu BGE 110 Ib 99 S. 102 enteignen, werden offensichtlich nicht nur die Nachbarn berührt, auf deren Liegenschaften der Schiesslärm die Grenze des absolut Unzulässigen erreicht und die Lärmsituation einer dringlichen Sanierung bedarf. Als berührt und beschwerdeberechtigt sind vielmehr all jene zu betrachten, die in der Nähe einer Schiessanlage wohnen, den Schiesslärm deutlich wahrnehmen und dadurch in ihrer Ruhe gestört werden. In diesem Sinne hat das Bundesgericht schon im Entscheid ARAG-Rusbach die rund um einen Flughafen oder unter den Anflugschneisen Wohnenden zur Anfechtung von Flugplänen zugelassen, da ihr Interesse an ungestörter (Nacht-)Ruhe schützenswert sei und sie durch den Lärm der an- und wegfliegenden Flugzeuge gestört würden ( BGE 104 Ib 307 ff., insbes. 318). Zwar trifft zu, dass nach dieser Rechtsprechung die Beschwerde- oder Einsprachelegitimation, falls die lärmverursachende Anlage in dicht bevölkertem Gebiete liegt, einer sehr grossen Zahl von Personen zukommen kann. Das heisst jedoch entgegen der Meinung des Departementes nicht, dass der Allgemeinheit ein Beschwerderecht zugestanden würde: Wer in der Nähe einer solchen Anlage wohnt, ihren Lärm deutlich hört und dadurch in seiner Ruhe gestört wird, ist durch die Anlage mehr berührt als jedermann und steht zu ihr in einer besonderen, nahen Beziehung. d) Nach den Lärmmessungen, die auf Veranlassung des Beschwerdeführers vorgenommen wurden, liegt der allgemeine Ruhepegel auf dem von der Schiessanlage nicht weit entfernten Grundstück Schützenrain 4 bei 44 bis 48 dB (A), während der Schiesslärm 64 dB (A) erreicht. Die Immissionen sind demnach für den Beschwerdeführer deutlich wahrnehmbar, wird doch ein Geräusch im Mittel dann als doppelt so laut empfunden, wenn sich sein Pegel um 10 dB (A) erhöht (vgl. zweiter Teilbericht der Expertenkommission, S. 12). Der Beschwerdeführer ist daher befugt, gegen die Enteignung seiner nachbarlichen Abwehrrechte Einsprache zu erheben, wie es ihm übrigens im bundesgerichtlichen Urteil vom 18. November 1982 und in der verfahrenseinleitenden Verfügung der Schätzungskommission vom 29. November 1982 in Aussicht gestellt worden ist. e) Damit, dass hier der Beschwerdeführer zur Einsprache berechtigt erklärt wird, wird die Frage noch nicht beantwortet, ob sich die Legitimation zur Einsprache im enteignungsrechtlichen Verfahren stets nach den Bestimmungen von Art. 48 lit. a VwVG und Art. 103 lit. a OG richte, insbesondere auch dann, wenn dem Enteignungsverfahren ein Baubewilligungs- oder Plangenehmigungsverfahren BGE 110 Ib 99 S. 103 unter Einbezug der durch das Werk berührten Privaten vorausgegangen ist (vgl. BGE 108 Ib 245 ff.). Diese Frage braucht indessen im vorliegenden Falle nicht geklärt zu werden. Festzuhalten ist einzig, dass selbst dann, wenn das enteignungsrechtliche Einspracheverfahren ausschliesslich den Expropriierten offenstünde, die Einsprachebefugnis nur jenen abgesprochen werden könnte, die mit Sicherheit keine Rechte, auch keine nachbarlichen Abwehrrechte gegen Immissionen, für das Werk abzutreten haben.</w:t>
      </w:r>
    </w:p>
    <w:p>
      <w:r>
        <w:rPr>
          <w:b/>
        </w:rPr>
        <w:t>E. 2</w:t>
      </w:r>
    </w:p>
    <w:p>
      <w:r>
        <w:t>Das Eidgenössische Militärdepartement hat somit die Einsprachebefugnis des Beschwerdeführers zu Unrecht verneint und durch die Nichtbehandlung seiner Eingabe gegen Art. 4 BV verstossen. Die Beschwerde ist deshalb gutzuheissen und die Sache, da das Bundesgericht im vorliegenden Verfahren über Ermessensfragen nicht frei entscheiden kann, zur Neubeurteilung an die Vorinstanz zurückzuweisen (vgl. BGE 98 Ib 171 , 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