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266 vom 1. Januar 1984</w:t>
      </w:r>
    </w:p>
    <w:p>
      <w:r>
        <w:t>Bundesgericht (BGE), 1984-01-01, DE</w:t>
      </w:r>
    </w:p>
    <w:p>
      <w:r>
        <w:rPr>
          <w:b/>
        </w:rPr>
        <w:t xml:space="preserve">Quelle: </w:t>
      </w:r>
      <w:r>
        <w:t>https://mcp.opencaselaw.ch/entscheid/bge_BGE_110_IB_266</w:t>
      </w:r>
    </w:p>
    <w:p>
      <w:r>
        <w:t>FR: BGE BGE 110 IB 266 du 1 janvier 1984</w:t>
      </w:r>
    </w:p>
    <w:p>
      <w:r>
        <w:t>IT: BGE BGE 110 IB 266 del 1 gennaio 1984</w:t>
      </w:r>
    </w:p>
    <w:p>
      <w:pPr>
        <w:pStyle w:val="Heading2"/>
      </w:pPr>
      <w:r>
        <w:t>Regeste</w:t>
      </w:r>
    </w:p>
    <w:p>
      <w:r>
        <w:t>Regeste Art. 14 Abs. 2 RPG, Art. 31 des Raumplanungsgesetzes für den Kanton Graubünden. Übriges Gemeindegebiet. Vereinbarkeit der bündnerischen Vorschriften über das übrige Gemeindegebiet mit Bundesrecht (E. 4).</w:t>
      </w:r>
    </w:p>
    <w:p>
      <w:r>
        <w:t>Regeste Art. 14 al. 2 LAT, art. 31 de la loi sur l'aménagement du territoire du canton des Grisons. Zone communale sans affectation spéciale. Compatibilité avec le droit fédéral de la réglementation grisonne des zones communales sans affectation spéciale (consid. 4).</w:t>
      </w:r>
    </w:p>
    <w:p>
      <w:r>
        <w:t>Regesto Art. 14 cpv. 2 LPT, art. 31 della legge sulla pianificazione territoriale del Cantone Grigione. Zona comunale residua. Compatibilità con il diritto federale della disciplina grigionese delle zone comunali residue (consid. 4).</w:t>
      </w:r>
    </w:p>
    <w:p>
      <w:pPr>
        <w:pStyle w:val="Heading2"/>
      </w:pPr>
      <w:r>
        <w:t>Erwägungen</w:t>
      </w:r>
    </w:p>
    <w:p>
      <w:r>
        <w:rPr>
          <w:b/>
        </w:rPr>
        <w:t>E. 4</w:t>
      </w:r>
    </w:p>
    <w:p>
      <w:r>
        <w:t>In materieller Hinsicht macht die Beschwerdeführerin zunächst geltend, es fehle eine klare gesetzliche Grundlage für die Belassung des grössten Teils ihres Grundbesitzes im übrigen Gemeindegebiet. Ob dies zutrifft, prüft das Bundesgericht nur dann frei, wenn es um einen besonders schweren Eingriff geht ( BGE 108 Ia 35 E. 3a mit Hinweisen). Es kann offen bleiben, ob von einem solchen gesprochen werden kann, wenn bei der erstmaligen Festsetzung eines Zonenplanes Grundstücke nicht eingezont werden, da sich die Rüge der Beschwerdeführerin auch bei freier Prüfung als unbegründet erweist. Das kantonale Raumplanungsgesetz ordnet an, dass die Gemeinden das Baugebiet auszuscheiden haben und zwar in der Regel im Zonenplan (Art. 19 Abs. 1 und Abs. 2 lit. a). Das nicht in Bauzonen einbezogene Gebiet können sie z.B. Zonen für die Land- und Forstwirtschaft zuweisen ( Art. 23 und 30 KRG ), sie können es aber auch als "übriges Gemeindegebiet" bezeichnen, BGE 110 Ib 266 S. 267 das grundsätzlich nur wie bisher zu nutzen ist, oder als Landwirtschaftszone behandelt wird, wenn die landwirtschaftliche Nutzung überwiegt ( Art. 31 Abs. 1 KRG ; BGE 109 Ib 126 E. 2). Es besteht kein Zweifel, dass die von der Gemeinde Vaz/Obervaz am 28. November 1982 angenommenen Zonenpläne diesen gesetzlichen Vorschriften entsprechen. Die Beschwerdeführerin wendet jedoch ein, die Vorschriften des kantonalen Rechts über das übrige Gemeindegebiet seien bundesrechtswidrig. Richtig ist, dass die Nutzungspläne "vorab Bau-, Landwirtschaft- und Schutzzonen" unterscheiden ( Art. 14 Abs. 2 RPG ). Das Raumplanungsgesetz des Bundes schliesst jedoch nicht aus, dass die Kantone und Gemeinden ihre Verpflichtung, Nutzungspläne zu erlassen, in mehreren Schritten erfüllen. Auch wenn die Bezeichnung "übriges Gemeindegebiet" gemäss Art. 31 KRG die Festsetzung präzis begrenzter Landwirtschaftszonen, welche das in Art. 16 RPG bezeichnete Land umfassen, nicht zu ersetzen vermag, ist es nicht bundesrechtswidrig, wenn zunächst die vordringliche Aufgabe der Baugebietsbegrenzung im Bauzonenplan erfüllt wird. Das Bundesrecht lässt es ausdrücklich zu, dass das kantonale Recht "Vorschriften enthalten kann über Gebiete, deren Nutzung noch nicht bestimmt ist oder in denen eine bestimmte Nutzung erst später zugelassen wird" ( Art. 18 Abs. 2 RPG ). Art. 31 KRG ist als solche Vorschrift zu verstehen ( BGE 109 Ib 127 E. 2b), freilich unter der Voraussetzung, dass sie in Übereinstimmung mit dem Bundesrecht angewendet wird, d.h. sie befreit den Kanton und die Gemeinden nicht davon, die vom Bundesrecht geforderten definitiven Landwirtschaftszonen festzulegen. In Berücksichtigung dieses bundesrechtlichen Gebots steht jedoch das Bundesrecht der Bezeichnung "übriges Gebiet" für die vorerst nicht einer bestimmten Zone zugewiesenen Flächen nicht entgegen. Die Einwendung der fehlenden gesetzlichen Grundlage bzw. deren Bundesrechtswidrigkeit geht daher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