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81 vom 1. Januar 1984</w:t>
      </w:r>
    </w:p>
    <w:p>
      <w:r>
        <w:t>Bundesgericht (BGE), 1984-01-01, DE</w:t>
      </w:r>
    </w:p>
    <w:p>
      <w:r>
        <w:rPr>
          <w:b/>
        </w:rPr>
        <w:t xml:space="preserve">Quelle: </w:t>
      </w:r>
      <w:r>
        <w:t>https://mcp.opencaselaw.ch/entscheid/bge_BGE_110_IA_81</w:t>
      </w:r>
    </w:p>
    <w:p>
      <w:r>
        <w:t>FR: BGE BGE 110 IA 81 du 1 janvier 1984</w:t>
      </w:r>
    </w:p>
    <w:p>
      <w:r>
        <w:t>IT: BGE BGE 110 IA 81 del 1 gennaio 1984</w:t>
      </w:r>
    </w:p>
    <w:p>
      <w:pPr>
        <w:pStyle w:val="Heading2"/>
      </w:pPr>
      <w:r>
        <w:t>Regeste</w:t>
      </w:r>
    </w:p>
    <w:p>
      <w:r>
        <w:t>Regeste Art. 4 BV, rechtliches Gehör. 1. Zusammensetzung einer Augenscheinsdelegation im Beschwerdeverfahren vor der kantonalen Exekutive (E. 5c). 2. Voraussetzungen, unter welchen die Verletzung des Anspruchs auf rechtliches Gehör geheilt wird (E. 5d).</w:t>
      </w:r>
    </w:p>
    <w:p>
      <w:r>
        <w:t>Regeste Art. 4 Cst., droit d'être entendu. 1. Composition d'une délégation chargée d'une inspection des lieux dans le cadre d'une procédure de recours devant l'exécutif cantonal (c. 5c). 2. Conditions auxquelles la violation du droit d'être entendu est réparée (c. 5d).</w:t>
      </w:r>
    </w:p>
    <w:p>
      <w:r>
        <w:t>Regesto Art. 4 Cost., diritto di essere sentito. 1. Composizione di una delegazione incaricata di un sopralluogo nel quadro di una procedura ricorsuale dinanzi all'esecutivo cantonale (consid. 5c). 2. Condizioni alle quali è sanata la violazione del diritto di essere sentito (consid. 5d).</w:t>
      </w:r>
    </w:p>
    <w:p>
      <w:pPr>
        <w:pStyle w:val="Heading2"/>
      </w:pPr>
      <w:r>
        <w:t>Erwägungen</w:t>
      </w:r>
    </w:p>
    <w:p>
      <w:r>
        <w:rPr>
          <w:b/>
        </w:rPr>
        <w:t>E. 5</w:t>
      </w:r>
    </w:p>
    <w:p>
      <w:r>
        <w:t>a) Zunächst rügen die Beschwerdeführer eine Verletzung des rechtlichen Gehörs, da der Regierungsrat am Augenschein vom 14. Juni 1983 nicht durch ein Mitglied, sondern nur durch zwei juristische Sekretäre der mit der Beschwerdeinstruktion beauftragten Justizdirektion vertreten gewesen sei. Ausserdem habe der Regierungsrat zu Unrecht den mangelhaft begründeten Entscheid der Baudirektion nicht aufgehoben, sondern versucht, den Mangel selber zu heilen. Dadurch sei ihnen, den Beschwerdeführern, "eine Instanz verlorengegangen". b) Der Umfang des rechtlichen Gehörs bestimmt sich in erster Linie nach den kantonalen Verfahrensvorschriften. Wo sich BGE 110 Ia 81 S. 82 jedoch der kantonale Rechtsschutz als ungenügend erweist, greifen die unmittelbar aus Art. 4 BV folgenden Verfahrensregeln zur Sicherung des rechtlichen Gehörs Platz. Im vorliegenden Fall wird in allen drei Beschwerdeschriften nicht behauptet, das Vorgehen des Regierungsrates verletze irgendwelche kantonalen Verfahrensvorschriften. Es ist daher einzig - und zwar mit freier Kognition - zu prüfen, ob unmittelbar aus Art. 4 BV folgende Regeln missachtet wurden ( BGE 108 Ia 6 E. 2a, 191 mit Hinweisen). c) Nach der bundesgerichtlichen Rechtsprechung wird Art. 4 BV nicht verletzt, wenn an einem Augenschein in einem kantonalen Beschwerdeverfahren, in welchem der Regierungsrat entscheidet, kein Mitglied der Behörde persönlich anwesend ist ( BGE 100 Ib 400 E. 2 mit Hinweis). Im vorliegenden Fall bestehen in dieser Hinsicht um so weniger Bedenken, als sich der Regierungsrat bei seinem Entscheid auf ein Augenscheinsprotokoll stützen konnte, in welchem die wesentlichen Einwände der Beschwerdeführer festgehalten sind. Überdies konnte er sich aufgrund von bei den Akten liegenden Plänen ein ausreichendes Bild über die tatsächlichen Verhältnisse machen. d) Der Regierungsrat vertritt in seinem Entscheid die Auffassung, wenn man überhaupt von einem mangelhaft begründeten Entscheid der Baudirektion reden könne, wäre ein solcher Mangel im Beschwerdeverfahren geheilt worden, weil ihm, dem Regierungsrat, dieselbe umfassende Kognition zustehe wie der Baudirektion, und die Betroffenen dieselben Argumente erneut vorbringen könnten. Dies entspricht entgegen der Meinung der Beschwerdeführer der Rechtsprechung des Bundesgerichts, wonach eine Verletzung des Anspruchs auf rechtliches Gehör geheilt wird, wenn der Berechtigte die Möglichkeit hatte, sich vor einer Beschwerdeinstanz zu äussern, die zu freier Prüfung aller Fragen befugt war, welche der untern Instanz hätten unterbreitet werden können ( BGE 105 Ib 174 mit Hinweisen). Damit wird ein Fehler, der dem vorinstanzlichen Entscheid anhaftet, korrigiert. Dies bewirkt ebenso wenig eine Verkürzung des Instanzenzuges, wie wenn die obere Instanz ihren Entscheid auf neue rechtliche Erwägungen stützt (ROLF TINNER, Das rechtliche Gehör, in: ZSR 83/1964 II, S. 412). Eine Verletzung des rechtlichen Gehörs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