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58</w:t>
      </w:r>
    </w:p>
    <w:p>
      <w:r>
        <w:t>Bundesgericht (BGE), 1983-01-04, FR</w:t>
      </w:r>
    </w:p>
    <w:p>
      <w:r>
        <w:rPr>
          <w:b/>
        </w:rPr>
        <w:t xml:space="preserve">Quelle: </w:t>
      </w:r>
      <w:r>
        <w:t>https://mcp.opencaselaw.ch/entscheid/bge_BGE_109_V_58</w:t>
      </w:r>
    </w:p>
    <w:p>
      <w:r>
        <w:t>FR: ATF 109 V 58</w:t>
      </w:r>
    </w:p>
    <w:p>
      <w:r>
        <w:t>IT: DTF 109 V 58</w:t>
      </w:r>
    </w:p>
    <w:p>
      <w:pPr>
        <w:pStyle w:val="Heading2"/>
      </w:pPr>
      <w:r>
        <w:t>Regeste</w:t>
      </w:r>
    </w:p>
    <w:p>
      <w:r>
        <w:t>Regeste Art. 103 lit. a OG. Beschwerdelegitimation (schutzwürdiges Interesse).</w:t>
      </w:r>
    </w:p>
    <w:p>
      <w:r>
        <w:t>Regeste Art. 103 let. a OJ. Qualité pour recourir (intérêt digne de protection).</w:t>
      </w:r>
    </w:p>
    <w:p>
      <w:r>
        <w:t>Regesto Art. 103 lett. a OG. Diritto di ricorrere (interesse degno di protezione).</w:t>
      </w:r>
    </w:p>
    <w:p>
      <w:pPr>
        <w:pStyle w:val="Heading2"/>
      </w:pPr>
      <w:r>
        <w:t>Erwägungen</w:t>
      </w:r>
    </w:p>
    <w:p>
      <w:r>
        <w:rPr>
          <w:b/>
        </w:rPr>
        <w:t>E. 1</w:t>
      </w:r>
    </w:p>
    <w:p>
      <w:r>
        <w:t>Le recourant demande le rétablissement de la décision contre laquelle il avait recouru en première instance et qui a été partiellement réformée par l'autorité cantonale. On doit dès lors commencer par examiner s'il a qualité pour recourir. Aux termes de l' art. 103 let. a OJ , a qualité pour recourir quiconque est atteint par la décision attaquée et a un intérêt digne de protection à ce qu'elle soit annulée ou modifiée. La jurisprudence considère comme intérêt digne de protection, au sens de cette disposition,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 ATF 108 Ib 93 , ATF 106 V 188 consid. 1; DTA 1980 no 30 p. 62). Un tel intérêt n'existe pas lorsque la décision a intégralement fait droit aux conclusions du requérant car, dans ce cas, le recours ne lui apporterait rien de plus que ce qu'il a déjà obtenu devant l'instance inférieure (SALADIN, Das Verwaltungsverfahrensrecht des Bundes, p. 175-176; GYGI, Bundesverwaltungsrechtspflege, p. 114 ad ch. 2.2.). En l'espèce, le recourant reproche implicitement à l'autorité cantonale de recours d'avoir réformé à son détriment une décision dont il demande maintenant le rétablissement. Il allègue ainsi un BGE 109 V 58 S. 60 préjudice résultant de l'admission partielle de son recours dans un sens entièrement différent de ce qu'il entendait obtenir en saisissant l'autorité de recours. Cela suffit pour qu'il puisse faire valoir un intérêt digne de protection au sens de l' art. 103 let. a OJ , quand bien même la motivation du jugement entrepris ne tend nullement à une reformatio in pejus. En effet, l'objet d'un recours de droit administratif est toujours le dispositif de la décision attaquée et non pas les motifs invoqués à l'appui de celui-ci ( ATF 106 V 92 consid. 1). Or, dans le cas particulier, c'est bien le dispositif du jugement rendu le 13 mai 1980 par la commission cantonale de recours que le recourant entend faire modifier, car c'est uniquement celui-ci qui fixe l'étendue de ses droits, indépendamment des motifs qui ont conduit les premiers juges à choisir cette solution. Le recours de droit administratif est dès lors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