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46</w:t>
      </w:r>
    </w:p>
    <w:p>
      <w:r>
        <w:t>Bundesgericht (BGE), 1983-01-01, FR</w:t>
      </w:r>
    </w:p>
    <w:p>
      <w:r>
        <w:rPr>
          <w:b/>
        </w:rPr>
        <w:t xml:space="preserve">Quelle: </w:t>
      </w:r>
      <w:r>
        <w:t>https://mcp.opencaselaw.ch/entscheid/bge_BGE_109_V_46</w:t>
      </w:r>
    </w:p>
    <w:p>
      <w:r>
        <w:t>FR: ATF 109 V 46</w:t>
      </w:r>
    </w:p>
    <w:p>
      <w:r>
        <w:t>IT: DTF 109 V 46</w:t>
      </w:r>
    </w:p>
    <w:p>
      <w:pPr>
        <w:pStyle w:val="Heading2"/>
      </w:pPr>
      <w:r>
        <w:t>Regeste</w:t>
      </w:r>
    </w:p>
    <w:p>
      <w:r>
        <w:t>Regeste Art. 30 KUVG, 79 ff. SchKG. - Liegt keine Verfügung der Krankenkasse über die Schuld des Versicherten vor und hat dieser gegen den Zahlungsbefehl Rechtsvorschlag erhoben, so ist der Weg der provisorischen Rechtsöffnung zu beschreiten. - Erlässt die Kasse nach dem Zahlungsbefehl eine Verfügung, mit welcher der Rechtsvorschlag formell aufgehoben wird, und ist diese rechtskräftig und vollstreckbar geworden (sei es weil sie nicht angefochten, sei es weil sie durch den Sozialversicherungsrichter bestätigt worden ist), so hat das Betreibungsamt auf einfaches Verlangen der Kasse die Betreibung fortzusetzen. - Hat die Kasse bereits vorgängig der Betreibung eine Verfügung erlassen, die rechtskräftig und vollstreckbar geworden ist, und erhebt der Versicherte gegen den Zahlungsbefehl Rechtsvorschlag, so kann die Kasse definitive Rechtsöffnung verlangen.</w:t>
      </w:r>
    </w:p>
    <w:p>
      <w:r>
        <w:t>Regeste Art. 30 LAMA, 79 et ss LP. - S'il n'existe pas de décision de la caisse-maladie relative à la dette de l'assuré et que celui-ci ait formé opposition au commandement de payer, la voie à suivre est celle de la mainlevée provisoire. - Cependant, si la caisse rend, postérieurement à ce commandement de payer, une décision levant formellement cette opposition et que ladite décision soit devenue définitive et exécutoire (qu'elle n'ait pas été contestée ou qu'elle ait été confirmée par le juge des assurances sociales), l'Office des poursuites doit, sur simple réquisition de la caisse, continuer la poursuite. - Si, préalablement à la poursuite, la caisse a rendu une décision devenue définitive et exécutoire, elle peut - en cas d'opposition formée par l'assuré contre le commandement de payer - demander la mainlevée définitive de cette opposition.</w:t>
      </w:r>
    </w:p>
    <w:p>
      <w:r>
        <w:t>Regesto Art. 30 LAMI, 79 e segg. LEF. - Quando non esiste una decisione della cassa-malati concernente il debito dell'assicurato e egli faccia opposizione contro il precetto esecutivo, l'iter da seguire è quello del rigetto provvisorio. - Se però, successivamente al precetto esecutivo, la cassa emana una decisione in cui è tolta formalmente l'opposizione e detta decisione diviene definitiva e esecutiva (in quanto non contestata o confermata dal giudice delle assicurazioni sociali) l'Ufficio esecuzione e fallimenti deve continuare l'esecuzione a semplice richiesta della cassa. - Se precedentemente all'esecuzione la cassa ha reso una decisione divenuta definitiva e esecutiva, essa può - nel caso di opposizione interposta dall'assicurato - chiederne il rigetto definitivo.</w:t>
      </w:r>
    </w:p>
    <w:p>
      <w:pPr>
        <w:pStyle w:val="Heading2"/>
      </w:pPr>
      <w:r>
        <w:t>Erwägungen</w:t>
      </w:r>
    </w:p>
    <w:p>
      <w:r>
        <w:rPr>
          <w:b/>
        </w:rPr>
        <w:t>E. 1</w:t>
      </w:r>
    </w:p>
    <w:p>
      <w:r>
        <w:t>La présente procédure ne concerne pas l'octroi ou le refus de prestations. Le Tribunal fédéral des assurances doit donc se borner à examiner si les premiers juges ont violé le droit fédéral, y compris par l'excès ou par l'abus de leur pouvoir d'appréciation, ou si les faits ont été constatés d'une manière manifestement inexacte ou incomplète, ou s'ils ont été établis au mépris de règles essentielles de procédure (art. 132 en corrélation avec les art. 104 let. a et b et 105 al. 2 OJ ). Quant au litige lui-même, il convient de distinguer deux aspects: d'une part, l'existence et le montant de la créance de la caisse-maladie BGE 109 V 46 S. 49 envers Oswald Turci et, d'autre part, la procédure de recouvrement de cette créance.</w:t>
      </w:r>
    </w:p>
    <w:p>
      <w:r>
        <w:rPr>
          <w:b/>
        </w:rPr>
        <w:t>E. 2</w:t>
      </w:r>
    </w:p>
    <w:p>
      <w:r>
        <w:t>En ce qui concerne le premier point, force est de constater que la caisse a rendu une décision formelle, qui a donné lieu à recours auprès du Tribunal cantonal des assurances. Le premier juge a reconnu une telle créance et en a fixé le montant après en avoir déduit les frais de poursuite et de sommation. Cela étant, on ne saurait lui reprocher d'avoir constaté les faits de manière manifestement inexacte ou incomplète, ni de les avoir établis au mépris de règles essentielles de procédure ( art. 105 al. 2 OJ ). Par ailleurs, c'est à juste titre qu'il a admis que l'affiliation du recourant à une autre caisse-maladie était sans rapport direct avec le présent litige. Le recours de droit administratif doit donc être rejeté sur ce point et l'arrêt cantonal confirmé.</w:t>
      </w:r>
    </w:p>
    <w:p>
      <w:r>
        <w:rPr>
          <w:b/>
        </w:rPr>
        <w:t>E. 3</w:t>
      </w:r>
    </w:p>
    <w:p>
      <w:r>
        <w:t>L'autorité cantonale de recours a levé définitivement l'opposition formée par l'assuré au commandement de payer. L'Office fédéral des assurances sociales conteste que le juge des assurances ait une telle compétence; il propose l'admission du recours de droit administratif sur ce point. a) Lorsqu'il n'existe pas de décision formelle relative à la dette du débiteur et que celui-ci forme opposition, la voie à suivre est celle de la mainlevée provisoire selon les art. 82 et ss LP, avec possibilité d'intenter une action en libération de dette en la forme ordinaire ( art. 83 al. 2 LP ). Le juge compétent pour statuer sur cette action - comme sur l'action du créancier si la mainlevée provisoire est refusée ( art. 79 LP ) - est le tribunal des assurances, qui est le juge ordinaire prescrit par le droit fédéral en matière d'assurance-maladie, dans la plupart des cas tout au moins ( ATF 99 V 79 consid. a). Cette procédure n'entre toutefois pas en ligne de compte ici, dès lors qu'il existe une décision formelle de la caisse intimée. b) Dans un arrêt récent, la Chambre des poursuites et des faillites du Tribunal fédéral a jugé que le créancier qui, sur opposition à sa poursuite, a fait reconnaître ses droits par voie de procédure ordinaire ( art. 79 LP ) peut requérir directement la continuation de la poursuite sans avoir à passer par la procédure de mainlevée prévue à l' art. 80 LP ; qu'il en va de même lorsque la décision rendue d'après l' art. 79 LP émane d'une autorité ou d'un tribunal administratif de la Confédération ou du canton du for de la poursuite, dans la mesure où le droit fédéral ou cantonal attribue force exécutoire à leurs décisions portant sur le paiement BGE 109 V 46 S. 50 d'une somme d'argent; qu'ainsi, une caisse-maladie, personne morale de droit public, peut rendre à l'égard de ses assurés des décisions exécutoires en vertu tant du droit cantonal que du droit fédéral; qu'enfin, si une telle décision lève formellement l'opposition à la poursuite et qu'elle soit entrée en force, l'office doit continuer la poursuite sur simple réquisition ( ATF 107 III 60 ). Cette jurisprudence se distingue de la cause Chollet jugée le 18 mars 1968, où la Cour de céans relève que la décision de la caisse-maladie devenue définitive et exécutoire permet d'obtenir la mainlevée définitive de l'opposition à la poursuite (ATFA 1968 p. 19). La procédure du Tribunal fédéral est plus directe et est applicable dans la mesure où le dispositif du prononcé administratif se réfère avec précision à la poursuite en cours et lève formellement l'opposition, totalement ou à concurrence d'un montant déterminé. Si tel n'est pas le cas, mais dans cette hypothèse seulement, le créancier doit solliciter du juge un prononcé de mainlevée définitive avant de pouvoir requérir la continuation de la poursuite ( ATF 107 III 60 ). c) Une voie couramment utilisée dans la pratique est celle de la poursuite préalable à la décision, cette dernière étant la conséquence de l'opposition au commandement de payer. Cela conduit la caisse à rendre une décision qui sera définitive et exécutoire soit parce qu'elle n'est pas contestée, soit parce qu'elle aura été confirmée en tout ou partie par le juge des assurances sociales. Or si, selon l'arrêt Chollet, une telle procédure est irrégulière, il n'y a cependant pas lieu d'annuler l'arrêt cantonal rendu dans ces conditions, puisque le tribunal des assurances est compétent, comme juge ordinaire au sens de l' art. 79 LP , pour lever, par son jugement sur le fond, l'opposition à la poursuite (ATFA 1968 p. 19 consid. 1).</w:t>
      </w:r>
    </w:p>
    <w:p>
      <w:r>
        <w:rPr>
          <w:b/>
        </w:rPr>
        <w:t>E. 4</w:t>
      </w:r>
    </w:p>
    <w:p>
      <w:r>
        <w:t>En l'espèce, on est en présence d'une décision formelle consécutive à l'opposition formée au commandement de payer par le débiteur. Il convient tout d'abord de se demander s'il existe une différence essentielle entre les voies b) et c) ci-dessus, en d'autres termes si la jurisprudence des deux tribunaux fédéraux est contradictoire ou incompatible. Dans son arrêt, la Chambre des poursuites et faillites du Tribunal fédéral admet que le créancier puisse requérir directement la continuation de la poursuite sans avoir à passer par la procédure de mainlevée d'opposition ( art. 80 LP ) lorsque, s'agissant d'un BGE 109 V 46 S. 51 prononcé administratif, celui-ci se réfère avec précision à la poursuite et lève formellement l'opposition. Or, si la décision précède la poursuite, elle ne satisfait naturellement pas à l'exigence posée par la Chambre des poursuites et faillites du Tribunal fédéral, car le prononcé administratif de la caisse ne peut pas se référer à la poursuite introduite après coup, ni lever une opposition qui n'a pu être formulée. Dans ce cas, il incombera à la caisse poursuivante de solliciter du juge un prononcé de mainlevée définitive avant qu'elle ne puisse requérir la continuation de la poursuite: c'est la voie préconisée par l'arrêt Chollet précité. Dans ce sens, les deux jurisprudences ne sont ni contradictoires ni incompatibles, parce qu'elles se réfèrent à des situations différentes. Quant à l'argumentation de l'Office fédéral des assurances sociales, selon laquelle le juge ordinaire est le juge civil, et non pas celui des assurances, elle n'est point pertinente. En effet, il a été maintes fois rappelé que, dans les matières qui sont de son ressort, le juge des assurances est effectivement le juge ordinaire selon l' art. 79 LP et qu'il a qualité pour lever une opposition à la poursuite en statuant sur le fond ( ATF 99 V 79 consid. a; ATFA 1968 p. 19 consid. 1). La Cour de céans ne peut dès lors que confirmer sur ce point également le jugement du Tribunal des assurances du canton de Vaud. Pour le surplus, le Tribunal fédéral des assurances se rallie aux considérants pertinents de l'autorité cantonale de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