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58 vom 1. Januar 1983</w:t>
      </w:r>
    </w:p>
    <w:p>
      <w:r>
        <w:t>Bundesgericht (BGE), 1983-01-01, FR</w:t>
      </w:r>
    </w:p>
    <w:p>
      <w:r>
        <w:rPr>
          <w:b/>
        </w:rPr>
        <w:t xml:space="preserve">Quelle: </w:t>
      </w:r>
      <w:r>
        <w:t>https://mcp.opencaselaw.ch/entscheid/bge_BGE_109_Ib_58</w:t>
      </w:r>
    </w:p>
    <w:p>
      <w:r>
        <w:t>FR: BGE BGE 109 Ib 58 du 1 janvier 1983</w:t>
      </w:r>
    </w:p>
    <w:p>
      <w:r>
        <w:t>IT: BGE BGE 109 Ib 58 del 1 gennaio 1983</w:t>
      </w:r>
    </w:p>
    <w:p>
      <w:pPr>
        <w:pStyle w:val="Heading2"/>
      </w:pPr>
      <w:r>
        <w:t>Regeste</w:t>
      </w:r>
    </w:p>
    <w:p>
      <w:r>
        <w:t>Regeste Art. 47 IRSG (BG über internationale Rechtshilfe in Strafsachen). Die beiden in Art. 47 Abs. 1 lit. a IRSG genannten Voraussetzungen sind kumulativ. Die Behauptung des Betroffenen, dass eine dieser beiden Voraussetzungen erfüllt sei, reicht zur Begründung des Begehrens um Verzicht auf die Anordnung der Auslieferungshaft nicht aus.</w:t>
      </w:r>
    </w:p>
    <w:p>
      <w:r>
        <w:t>Regeste Art. 47 EIMP (LF sur l'entraide internationale en matière pénale). Les deux conditions énumérées à l'art. 47 al. 1 lettre a EIMP sont cumulatives. Si l'intéressé ne se prévaut que de la réalisation de l'une d'elles, il ne saurait prétendre qu'il soit renoncé à la détention extraditionnelle.</w:t>
      </w:r>
    </w:p>
    <w:p>
      <w:r>
        <w:t>Regesto Art. 47 AIMP (LF sull'assistenza internazionale in materia penale). Le due condizioni enumerate nell'art. 47 cpv. 1 lett. a AIMP sono cumulative. Se l'interessato si prevale soltanto della realizzazione di una di esse, egli non può pretendere che si prescinda dalla carcerazione in vista d'estradizione.</w:t>
      </w:r>
    </w:p>
    <w:p>
      <w:pPr>
        <w:pStyle w:val="Heading2"/>
      </w:pPr>
      <w:r>
        <w:t>Erwägungen</w:t>
      </w:r>
    </w:p>
    <w:p>
      <w:r>
        <w:rPr>
          <w:b/>
        </w:rPr>
        <w:t>E. 2</w:t>
      </w:r>
    </w:p>
    <w:p>
      <w:r>
        <w:t>Conformément à l'art. 47 EIMP, l'arrestation de la personne dont l'extradition est demandée est la règle, sauf si l'une des conditions énumérées à l'art. 47 al. 1 lettre a et b ou à l'art. 47 al. 2 EIMP est remplie. Tel n'est pas le cas. On relève d'abord que le recourant ne prétend pas être hors d'état de subir l'incarcération ou être au bénéfice d'autres motifs justifiant le remplacement de l'arrestation par d'autres sûretés au sens de l'art. 47 al. 2 EIMP. Ensuite, on ne saurait parler d'alibi (cf. art. 47 al. 1 lettre b EIMP) là où l'intéressé a reconnu, du moins à certaines occasions, avoir envoyé au procureur la lettre suspectée de faux et qui pourrait constituer une dénonciation calomnieuse BGE 109 Ib 58 S. 60 au sens respectivement des art. 485 et 308 du Code pénal italien. Enfin, s'agissant de l'art. 47 al. 1 lettre a EIMP, on constate qu'il énumère deux conditions cumulatives qui ont trait, l'une à la soustraction à l'extradition, l'autre à l'entrave à l'instruction. Il s'ensuit qu'il ne peut être renoncé à la détention que si ces deux conditions sont toutes deux remplies. Or le recourant ne prend nullement la peine d'exposer en quoi sa mise en liberté ne serait pas de nature à entraver l'instruction, alors qu'il ressort de ses déclarations mêmes qu'il est en danger d'être tué ou enlevé, ce qui rendrait son extradition impossible et compliquerait l'enquête. Dans ces conditions, on ne saurait reprocher à l'Office fédéral d'avoir ordonné l'arrestation du recourant. Le recours ne peut ainsi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