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232 vom 2. November 1929</w:t>
      </w:r>
    </w:p>
    <w:p>
      <w:r>
        <w:t>Bundesgericht (BGE), 1929-11-02, FR</w:t>
      </w:r>
    </w:p>
    <w:p>
      <w:r>
        <w:rPr>
          <w:b/>
        </w:rPr>
        <w:t xml:space="preserve">Quelle: </w:t>
      </w:r>
      <w:r>
        <w:t>https://mcp.opencaselaw.ch/entscheid/bge_BGE_109_Ib_232</w:t>
      </w:r>
    </w:p>
    <w:p>
      <w:r>
        <w:t>FR: BGE BGE 109 Ib 232 du 2 novembre 1929</w:t>
      </w:r>
    </w:p>
    <w:p>
      <w:r>
        <w:t>IT: BGE BGE 109 Ib 232 del 2 novembre 1929</w:t>
      </w:r>
    </w:p>
    <w:p>
      <w:pPr>
        <w:pStyle w:val="Heading2"/>
      </w:pPr>
      <w:r>
        <w:t>Regeste</w:t>
      </w:r>
    </w:p>
    <w:p>
      <w:r>
        <w:t>Regeste Abkommen zwischen der Schweizerischen Eidgenossenschaft und dem Deutschen Reich über die gegenseitige Anerkennung und Vollstreckung von gerichtlichen Entscheidungen und Schiedssprüchen vom 2. November 1929. Artikel 4 Absatz 1. Der schweizerische Ordre public steht der Abweisung eines Gesuches um Eheschutzmassnahmen nicht entgegen, wenn deutsche Staatsangehörige, die in der Schweiz Wohnsitz haben, von einem deutschen Gericht geschieden wurden, derweil vorher ein schweizerisches Gericht die Scheidungsklage abgewiesen hatte.</w:t>
      </w:r>
    </w:p>
    <w:p>
      <w:r>
        <w:t>Regeste Convention entre la Confédération suisse et le Reich allemand relative à la reconnaissance et à l'exécution de décisions judiciaires et de sentences arbitrales, du 2 novembre 1929. Art. 4 alinéa premier. L'ordre public suisse ne s'oppose pas à ce que le juge suisse rejette une demande de mesures protectrices de l'union conjugale, s'agissant de ressortissants allemands, domiciliés en Suisse, dont le divorce a été prononcé par un tribunal allemand, alors que, auparavant, un tribunal suisse avait rejeté l'action en divorce introduite par l'une des parties.</w:t>
      </w:r>
    </w:p>
    <w:p>
      <w:r>
        <w:t>Regesto Convenzione tra la Confederazione Svizzera e il Reich Germanico circa il riconoscimento e l'esecuzione delle decisioni giudiziarie e delle sentenze arbitrali, del 2 novembre 1929, Art. 4 cpv. 1. L'ordine pubblico svizzero non si oppone a che il giudice svizzero respinga una domanda di misure protettrici dell'unione coniugale in un caso concernente cittadini germanici domiciliati in Svizzera, il cui divorzio è stato pronunciato da un tribunale germanico, dopo essere stato negato anni prima da un tribunale svizzero.</w:t>
      </w:r>
    </w:p>
    <w:p>
      <w:pPr>
        <w:pStyle w:val="Heading2"/>
      </w:pPr>
      <w:r>
        <w:t>Erwägungen</w:t>
      </w:r>
    </w:p>
    <w:p>
      <w:r>
        <w:rPr>
          <w:b/>
        </w:rPr>
        <w:t>E. 2</w:t>
      </w:r>
    </w:p>
    <w:p>
      <w:r>
        <w:t>Selon l'art. 4 al. 1 de la Convention entre la Confédération suisse et le Reich allemand relative à la reconnaissance et à BGE 109 Ib 232 S. 235 l'exécution de décisions judiciaires et de sentences arbitrales, du 2 novembre 1929 (RS 0.276.191.361), la reconnaissance d'une décision passée en force de chose jugée sera refusée lorsque la décision aurait pour résultat la réalisation d'un rapport de droit dont la validité ou la poursuite est défendue sur le territoire de l'Etat où la décision est invoquée pour des motifs tirés de l'ordre public et des bonnes moeurs. La recourante fait valoir que l'ordre public suisse s'oppose à un double titre à la reconnaissance en Suisse du caractère exécutoire du jugement allemand prononçant le divorce des parties. a) Elle se prévaut tout d'abord de ce que la juridiction allemande, en prononçant le divorce, s'est abstenue de régler, dans son jugement, "les effets pécuniaires de la séparation (recte: de la dissolution du mariage par le divorce), la laissant ainsi dans une situation critique". Une telle procédure, dit-elle, usuelle pendant longtemps en Allemagne (cf. DUMUSC, Le divorce par consentement mutuel dans les législations européennes, thèse Lausanne 1980, p. 161), contrevient directement à la règle, bien connue en Suisse, de l'unité du jugement de divorce, règle dont le Tribunal fédéral impose d'office le respect au juge ( ATF 80 II 5 ss; cf. ATF 98 II 344 consid. 2 et les références).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 ATF 107 Ia 199 consid. 3, ATF 98 Ia 533 consid. 3 et les références). La teneur étroite de l'art. 4 al. 1 de la convention germano-suisse a pour objet d'empêcher que la réserve d'ordre public ne prenne une extension exagérée (Message du Conseil fédéral concernant la convention conclue avec l'Allemagne pour la reconnaissance et l'exécution de décisions judiciaires et de sentences arbitrales, du 9 décembre 1929, FF 1929 III p. 557 ss, sp. 563; cf. ATF 103 Ia 201 consid. b et les références). Dans cette optique, le principe de droit interne suisse de l'unité du jugement de divorce n'est pas une règle relevant de l'ordre public suisse: on ne saurait se fonder sur l'art. 4 al. 1 de la convention germano-suisse pour refuser de reconnaître un jugement de divorce rendu par un tribunal allemand et passé BGE 109 Ib 232 S. 236 en force de chose jugée, par le motif qu'il n'y est pas statué sur le droit de l'épouse à une rente en même temps qu'est prononcée la dissolution du mariage. Dame B. ne conteste pas avoir été régulièrement citée devant le tribunal allemand saisi de l'action en divorce intentée par son mari, avoir défendu à cette action, avoir pu faire valoir tous les moyens utiles à la sauvegarde de ses intérêts; elle ne nie pas non plus que le jugement de divorce est entré en force de chose jugée et que, après la libération de B. de son obligation d'entretien envers elle par jugement de l'Amtsgericht Schöneberg Berlin, du 26 février 1982, elle a introduit une nouvelle instance en Allemagne aux fins d'obtenir l'allocation d'une pension alimentaire. La circonstance que l'intimé ne lui verse plus de pension, à la suite du jugement de divorce passé en force et du prononcé le libérant de toute obligation d'entretien, ne laisse pas, il est vrai, d'avoir pour conséquence qu'elle se trouve dans une situation précaire. Mais cela ne suffit pas pour faire échec au caractère exécutoire du prononcé de divorce et à sa reconnaissance en Suisse, en conformité de l'art. 3 de la convention germano-suisse relative à l'exécution des jugements, aucune des réserves prévues par cette disposition n'étant réalisée. b) La recourante fait valoir d'autre part que le jugement allemand prononçant le divorce des parties est incompatible avec l'ordre public suisse parce qu'il est en contradiction avec l'arrêt du Tribunal fédéral, du 2 mars 1972, rejetant l'action en divorce qu'avait intentée contre elle B. par exploit de citation en conciliation du 22 janvier 1964. Certes, dans l'arrêt ATF 46 I 464 , cité par la recourante, le Tribunal fédéral a dit ce qui suit: "L'ordre public est intéressé ... à ce qu'entre les mêmes parties il ne puisse être fait état de deux décisions contradictoires sur la même contestation et il exige également qu'aucune entrave ne soit apportée à l'exécution d'une décision rendue par un tribunal suisse. Le principe que l'exequatur d'un jugement étranger doit être refusé s'il est en contradiction avec une sentence antérieurement rendue par une juridiction de l'Etat où cet exequatur est requis, est reconnu d'une façon générale en droit international privé, en dehors même de tout traité, et doit être également consacré pour ce qui concerne la Suisse..." Il est vrai en outre que, dans l'arrêt ATF 58 II 324 /325, auquel la recourante se réfère également, le Tribunal fédéral a jugé qu'il serait contraire à l'ordre public, réservé par la convention germano-suisse, de donner la préférence au jugement étranger lorsque celui-ci est en contradiction avec un jugement suisse. BGE 109 Ib 232 S. 237 La recourante ne peut cependant rien tirer de ces deux arrêts en faveur de sa thèse. L'arrêt du Tribunal fédéral du 2 mars 1972 rejetant l'action en divorce de B., introduite le 22 janvier 1964, a certes acquis l'autorité de la chose jugée dès son prononcé ( art. 38 OJ ). Mais, en matière de divorce, le principe de l'autorité de la chose jugée ne s'applique pas d'une façon absolue ( ATF 104 II 148 /149 consid. 3, ATF 95 II 640 ss ATF 94 I 245 /246 consid. 6 et les références). Il n'y a pas chose jugée lorsque, dans le second procès, sont invoqués des faits importants survenus depuis le premier jugement ou antérieurs à ce dernier, mais non allégués la première fois ( ATF 94 I 246 ). Les faits postérieurs au premier jugement sont importants si, pris en soi ou concurremment avec les faits allégués dans le premier procès, ils sont de nature à justifier la demande (ATF ATF 94 I 246 , ATF 85 II 59 consid. 2); il se peut aussi qu'un état de fait, dont la gravité n'avait pas été reconnue ou n'avait pas été admise dans le premier procès, ait par la suite rendu impossible la continuation de la vie commune ( ATF 94 I 246 , ATF 85 II 61 ). Dans l'arrêt précité ATF 94 I 245 consid. 6 lettre a, le Tribunal fédéral a jugé qu'il n'est pas contraire à l'ordre public suisse qu'un tribunal suédois accueille une demande de divorce formée par un conjoint suédois dont l'action avait été rejetée par la juridiction suisse. Contrairement à ce que prétend la recourante, quand bien même le Tribunal fédéral avait rejeté une action en divorce de B. par arrêt du 2 mars 1972, celui-ci pouvait introduire une nouvelle instance en divorce devant un tribunal allemand compétent, les parties étant toutes deux de nationalité allemande; il n'importe pas à cet égard qu'elles aient été domiciliées en Suisse à ce moment-là. Le jugement prononçant le divorce, rendu par le tribunal allemand, doit être reconnu en Suisse en vertu de l'art. 3 de la convention germano-suisse de 1929. De toute façon, le juge suisse, saisi de la requête de mesures protectrices de l'union conjugale formée par dame B., ne pouvait pas passer outre au jugement de divorce allemand. Certes, le juge des mesures protectrices de l'union conjugale peut se contenter de la simple vraisemblance du mariage pour admettre une requête de mesures protectrices ( ATF 68 II 14 consid. 3). Mais, lorsque le défendeur à une instance de mesures protectrices de l'union conjugale produit en procédure un jugement étranger de divorce, passé en force de chose jugée, le juge suisse ne peut ignorer ce jugement et ordonner les mesures requises par le demandeur parce que celui-ci fait valoir que le jugement de BGE 109 Ib 232 S. 238 divorce est contraire à l'ordre public suisse et en opposition avec un jugement suisse antérieur, rejetant une demande en divorce du défendeur. Il n'a pas le pouvoir de contrôler si le jugement allemand prononçant le divorce de ressortissants allemands et qui doit être reconnu en Suisse en vertu de la convention germano-suisse de 1929 serait en opposition avec un jugement suisse antérieur. Il ne lui appartient pas d'examiner si les faits sur la base desquels le tribunal allemand a prononcé le divorce sont identiques à ceux retenus par le tribunal suisse dans un jugement antérieur rejetant une action en divorce du défendeur. Le juge suisse des mesures protectrices de l'union conjugale ne pouvait pas non plus refuser de reconnaître le jugement allemand parce que celui-ci prononce le divorce en dehors de toute considération de faute, alors que l'arrêt antérieur du Tribunal fédéral avait admis que l'action de B. se heurtait au moyen tiré de l' art. 142 al. 2 CC , en raison de sa faute prépondérante. Cette question échappait également à son contrôle. La recourante reconnaît d'ailleurs avec raison que la disposition du paragraphe 1565 al. 1 BGB, qui admet le divorce indépendamment d'une faute, pour cause d'échec du mariage et d'impossibilité de continuation de la vie commune, n'est pas contraire à l'ordre public suisse, le Tribunal fédéral ayant jugé dans le même sens s'agissant d'une réglementation semblable du droit suédois ( ATF 94 I 247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