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114 vom 1. Januar 1983</w:t>
      </w:r>
    </w:p>
    <w:p>
      <w:r>
        <w:t>Bundesgericht (BGE), 1983-01-01, DE</w:t>
      </w:r>
    </w:p>
    <w:p>
      <w:r>
        <w:rPr>
          <w:b/>
        </w:rPr>
        <w:t xml:space="preserve">Quelle: </w:t>
      </w:r>
      <w:r>
        <w:t>https://mcp.opencaselaw.ch/entscheid/bge_BGE_109_Ib_114</w:t>
      </w:r>
    </w:p>
    <w:p>
      <w:r>
        <w:t>FR: BGE BGE 109 Ib 114 du 1 janvier 1983</w:t>
      </w:r>
    </w:p>
    <w:p>
      <w:r>
        <w:t>IT: BGE BGE 109 Ib 114 del 1 gennaio 1983</w:t>
      </w:r>
    </w:p>
    <w:p>
      <w:pPr>
        <w:pStyle w:val="Heading2"/>
      </w:pPr>
      <w:r>
        <w:t>Regeste</w:t>
      </w:r>
    </w:p>
    <w:p>
      <w:r>
        <w:t>Regeste Art. 5 Abs. 2 RPG; Rechtsnatur und Bedeutung des Begriffs der materiellen Enteignung. Die materielle Enteignung ist ein bundesrechtlicher Begriff, den die bundesgerichtliche Rechtsprechung umschreibt. Art. 5 Abs. 2 RPG verwehrt es den Kantonen, den Begriff weiter zu fassen.</w:t>
      </w:r>
    </w:p>
    <w:p>
      <w:r>
        <w:t>Regeste Art. 5 al. 2 LAT; nature juridique et portée de la notion d'expropriation matérielle. L'expropriation matérielle est une notion de droit fédéral, qui est définie par la jurisprudence du Tribunal fédéral. L'art. 5 al. 2 LAT interdit aux cantons d'en étendre la portée.</w:t>
      </w:r>
    </w:p>
    <w:p>
      <w:r>
        <w:t>Regesto Art. 5 cpv. 2 LPT; natura giuridica e portata della nozione di espropriazione materiale. L'espropriazione materiale è una nozione del diritto federale, definita dalla giurisprudenza del Tribunale federale. L'art. 5 cpv. 2 LPT non consente ai Cantoni di estenderne la portata.</w:t>
      </w:r>
    </w:p>
    <w:p>
      <w:pPr>
        <w:pStyle w:val="Heading2"/>
      </w:pPr>
      <w:r>
        <w:t>Erwägungen</w:t>
      </w:r>
    </w:p>
    <w:p>
      <w:r>
        <w:rPr>
          <w:b/>
        </w:rPr>
        <w:t>E. 3</w:t>
      </w:r>
    </w:p>
    <w:p>
      <w:r>
        <w:t>Das Verwaltungsgericht stützt den angefochtenen Entscheid auf seine der bundesgerichtlichen Rechtsprechung teilweise widersprechende Praxis, wonach eine Eigentumsbeschränkung zum Schutz des Orts- und Landschaftsbildes dann einer Enteignung gleichkommt, wenn sie Land mit einem "gefestigten" Verkehrswert trifft und einen "gängigen" Preis dauernd zerstört. Hiezu hat das Bundesgericht schon im Jahre 1972 im staatsrechtlichen Beschwerdeverfahren festgestellt, es habe keinen Anlass, von seiner Rechtsprechung abzugehen ( BGE 98 Ia 386 E. 2c). Das am 1. Januar 1980 in Kraft getretene Bundesgesetz über die Raumplanung wiederholt in Art. 5 Abs. 2 den verfassungsrechtlichen Grundsatz der vollen Entschädigung bei Eigentumsbeschränkungen, die einer Enteignung gleichkommen. Zudem räumt es nicht nur den betroffenen Eigentümern, sondern auch Kantonen und Gemeinden das Beschwerderecht gegen Entscheide letzter kantonaler Instanzen ein ( Art. 34 Abs. 2 RPG ). Wie erwähnt (E. 1), will es damit auch dem entschädigungspflichtigen Gemeinwesen einen Schutz gegen die Festsetzung übermässiger Entschädigungsbeträge gewähren ( BGE 107 Ib 222 E. 2). Bei der freien Prüfung der Verletzung von Bundesrecht im verwaltungsgerichtlichen Beschwerdeverfahren ist daher die Frage, ob der kantonale Entscheid die Voraussetzungen der Entschädigungspflicht zutreffend festgestellt und die Entschädigungshöhe richtig ermittelt hat, gemäss den Kriterien der bundesgerichtlichen Rechtsprechung zu beurteilen (in der amtlichen Sammlung unveröffentlichte E. 4 des Urteils BGE 107 Ib 229 ff., publiziert in ZBl 83/1982, S. 84). Nur dadurch wird die vom Gesetzgeber gewollte Rechtseinheit hinsichtlich des Begriffs der materiellen Enteignung erreicht. Das Raumplanungsgesetz verwehrt es den Kantonen, diesen Begriff weiter zu fassen als das Bundesrecht. Die Freiheit, welche die Kantone vor dessen Inkrafttreten hatten, ist damit dahingefallen.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