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113 vom 1. Januar 1983</w:t>
      </w:r>
    </w:p>
    <w:p>
      <w:r>
        <w:t>Bundesgericht (BGE), 1983-01-01, DE</w:t>
      </w:r>
    </w:p>
    <w:p>
      <w:r>
        <w:rPr>
          <w:b/>
        </w:rPr>
        <w:t xml:space="preserve">Quelle: </w:t>
      </w:r>
      <w:r>
        <w:t>https://mcp.opencaselaw.ch/entscheid/bge_BGE_109_Ia_113</w:t>
      </w:r>
    </w:p>
    <w:p>
      <w:r>
        <w:t>FR: BGE BGE 109 Ia 113 du 1 janvier 1983</w:t>
      </w:r>
    </w:p>
    <w:p>
      <w:r>
        <w:t>IT: BGE BGE 109 Ia 113 del 1 gennaio 1983</w:t>
      </w:r>
    </w:p>
    <w:p>
      <w:pPr>
        <w:pStyle w:val="Heading2"/>
      </w:pPr>
      <w:r>
        <w:t>Regeste</w:t>
      </w:r>
    </w:p>
    <w:p>
      <w:r>
        <w:t>Regeste Rechtssicherheit; Änderung von Zonenplänen. Bei Zonenplanänderungen ist dem Gebote der Rechtssicherheit Rechnung zu tragen. Im vorliegenden Fall überwiegt das Interesse der Rechtssicherheit jenes an einer Änderung des Zonenplanes.</w:t>
      </w:r>
    </w:p>
    <w:p>
      <w:r>
        <w:t>Regeste Sécurité du droit; modification d'un plan de zones. Il faut respecter la sécurité du droit lors de la modification d'un plan de zones. Dans le cas particulier, l'intérêt de la sécurité du droit l'emporte sur celui qu'il y a à modifier le plan de zones.</w:t>
      </w:r>
    </w:p>
    <w:p>
      <w:r>
        <w:t>Regesto Certezza del diritto; modifica di un piano delle zone. Nella modifica di un piano delle zone va tenuto conto del precetto della certezza del diritto. Nella fattispecie l'interesse della certezza del diritto prevale su quello volto alla modifica del piano delle zone.</w:t>
      </w:r>
    </w:p>
    <w:p>
      <w:pPr>
        <w:pStyle w:val="Heading2"/>
      </w:pPr>
      <w:r>
        <w:t>Erwägungen</w:t>
      </w:r>
    </w:p>
    <w:p>
      <w:r>
        <w:rPr>
          <w:b/>
        </w:rPr>
        <w:t>E. 3</w:t>
      </w:r>
    </w:p>
    <w:p>
      <w:r>
        <w:t>Die Beschwerdeführerin macht weiter geltend, die Änderung des Bebauungsplanes vom 8. Juni 1980 stehe im Widerspruch zur Rechtssicherheit, da dieser erst seit dem 14. Februar 1978 in Kraft stehe. Demgegenüber führt der Regierungsrat im wesentlichen aus, Zonenpläne könnten grundsätzlich frei geändert werden, wenn hierfür ein öffentliches Interesse gegeben sei. Dieses öffentliche Interesse erblickt er im Gesinnungswandel der Bevölkerung gegenüber Nutzungsmöglichkeiten von Bauland und bezüglich des Baustils. Das Bundesgericht hat im Zusammenhang mit Zonenplanänderungen wiederholt festgestellt, dass die Eigentumsgarantie dem Grundeigentümer keinen unbedingten Anspruch darauf gibt, dass sein Land dauernd in jener Zone bleibt, in die es einmal eingewiesen worden ist. Die verfassungsmässige Gewährleistung des Eigentums steht einer nachträglichen Änderung oder Beschränkung der aus einer bestimmten Zoneneinteilung folgenden Nutzungsmöglichkeiten nicht entgegen ( BGE 107 Ia 36 , BGE 107 Ib 335 , BGE 105 Ia 317 , BGE 104 Ia 337 f., BGE 104 Ia 126 , BGE 102 Ia 336 , mit Hinweisen). Planung und Wirklichkeit müssen bei Bedarf in Übereinstimmung gebracht werden können. Das Bundesgericht hat indessen darauf hingewiesen, dass bei der erforderlichen Interessenabwägung dem Gebot der Rechtssicherheit Rechnung zu tragen ist. Ein Zonenplan kann seinen Zweck nur erfüllen, wenn er eine BGE 109 Ia 113 S. 115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welche für die Planänderung sprechen ( BGE 102 Ia 333 , 338, Urteil vom 8. Februar 1978, in: ZBl 79/1978 S. 357 E. g, mit Hinweisen). Dieser Praxis entspricht Art. 21 Abs. 2 des eidgenössischen Raumplanungsgesetzes, wonach die Nutzungspläne überprüft und nötigenfalls angepasst werden, wenn sich die Verhältnisse erheblich geändert haben. Für die Beurteilung der im vorliegenden Fall in Frage stehenden Änderung des Bebauungsplanes unter dem Gesichtswinkel der Rechtssicherheit ist vorerst in Betracht zu ziehen, dass im Zeitpunkt der Abstimmung über die Initiative seit dem Inkrafttreten des Planes erst etwas mehr als zwei Jahre verstrichen sind. Nach der dargelegten Rechtsprechung müssen für eine Änderung nach so kurzer Zeit ganz besonders gewichtige Gründe gegeben sein. Solche sind indessen im vorliegenden Fall nicht ersichtlich. Der Regierungsrat verweist zwar auf die gewandelte Einstellung der Bevölkerung gegenüber der Nutzung von nicht überbautem Land. Dieser Sinneswandel allein vermag aber die Änderung noch nicht zu rechtfertigen. Das Bundesgericht hat entschieden, dass selbst eine Zonenplanänderung nach fünf Jahren nicht allein auf eine gewandelte Einstellung zur Überbauung gestützt werden kann, sondern hierfür gewichtige Gründe tatsächlicher oder rechtlicher Art gegeben sein müssen (zitiertes Urteil, in: ZBl 79/1978 S. 358). Auch aus planerischen Gründen drängt sich die Umzonung nicht auf, wie der Regierungsrat im angefochtenen Entscheid ausgeführt hat; das Planungsamt kam vielmehr zum Schluss, dass eine dreistöckige Bebauung im Gebiet "Stofel" keine schutzwürdigen Ortsteile oder Aussichtspunkte beeinträchtigen würde. Bei dieser Sachlage sprechen keine gewichtigen Gründe für die Herabzonung, welche das Rechtssicherheitsinteresse und das Vertrauen in die Beständigkeit des Überbauungsplans überwiegen würden. Daher erweist sich die Beschwerde auch unter diesem Gesichtswinkel als begründet, und der angefochtene Entscheid ist aufzuheben, soweit er sich auf die Änderung des Bebauungsplanes der Gemeinde Teufen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