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65</w:t>
      </w:r>
    </w:p>
    <w:p>
      <w:r>
        <w:t>Bundesgericht (BGE), 1983-01-01, DE</w:t>
      </w:r>
    </w:p>
    <w:p>
      <w:r>
        <w:rPr>
          <w:b/>
        </w:rPr>
        <w:t xml:space="preserve">Quelle: </w:t>
      </w:r>
      <w:r>
        <w:t>https://mcp.opencaselaw.ch/entscheid/bge_BGE_109_IV_65</w:t>
      </w:r>
    </w:p>
    <w:p>
      <w:r>
        <w:t>FR: ATF 109 IV 65</w:t>
      </w:r>
    </w:p>
    <w:p>
      <w:r>
        <w:t>IT: DTF 109 IV 65</w:t>
      </w:r>
    </w:p>
    <w:p>
      <w:pPr>
        <w:pStyle w:val="Heading2"/>
      </w:pPr>
      <w:r>
        <w:t>Regeste</w:t>
      </w:r>
    </w:p>
    <w:p>
      <w:r>
        <w:t>Regeste Art. 19, 20 StGB. Wer sich über Lebensvorgänge oder Umstände irrt, welche einem objektiven Tatbestandsmerkmal entsprechen (z.B. über die Fremdheit einer weggenommenen Sache), befindet sich in einer irrigen Vorstellung über den rechtserheblichen Sachverhalt im Sinne von Art. 19 StGB. Art. 20 StGB regelt demgegenüber ausschliesslich den Irrtum darüber, ob ein bestimmtes Verhalten verboten ist.</w:t>
      </w:r>
    </w:p>
    <w:p>
      <w:r>
        <w:t>Regeste Art. 19, 20 CP. Celui qui se méprend sur des circonstances personnelles ou matérielles qui constituent l'élément objectif d'une infraction (par exemple l'appartenance à autrui d'un objet que l'on emporte) se trouve sous l'influence d'une appréciation erronée des faits au sens de l'art. 19 CP. L'art. 20 CP en revanche ne s'applique qu'à l'erreur sur l'illicéité d'un comportement déterminé.</w:t>
      </w:r>
    </w:p>
    <w:p>
      <w:r>
        <w:t>Regesto Art. 19, 20 CP. Chi versa in errore su circostanze personali o sostanziali che costituiscono l'elemento obiettivo di un reato (ad esempio, l'appartenenza ad altri di una cosa sottratta) suppone erroneamente circostanze di fatto ai sensi dell'art. 19 CP. L'art. 20 CP si applica esclusivamente laddove l'errore verte sull'illiceità di un determinato comportamento.</w:t>
      </w:r>
    </w:p>
    <w:p>
      <w:pPr>
        <w:pStyle w:val="Heading2"/>
      </w:pPr>
      <w:r>
        <w:t>Erwägungen</w:t>
      </w:r>
    </w:p>
    <w:p>
      <w:r>
        <w:rPr>
          <w:b/>
        </w:rPr>
        <w:t>E. 3</w:t>
      </w:r>
    </w:p>
    <w:p>
      <w:r>
        <w:t>Wie auch immer die getroffene Vereinbarung unter zivilrechtlichen Aspekten letztlich einzuordnen sein mag, auf jeden Fall ist dem Beschwerdeführer nach den Feststellungen der Vorinstanz zugute zu halten, dass er nicht eine fremde Sache rechtswidrig wegnehmen und sich aneignen wollte, sondern nach Fühlungnahme mit dem eigenen Anwalt und dem Rechtsvertreter des Vertragspartners G. davon ausging, er nehme Ware zurück, die im Rahmen eines Werkvertrages vor der Verarbeitung gar nie in das Eigentum des Bestellers übergegangen war oder im Rahmen eines Kaufvertrages zwar geliefert, aber mit Zustimmung des vom Vertrag BGE 109 IV 65 S. 67 zurücktretenden Käufers G. wieder abzuholen sei. Die Vorinstanz betrachtete dies als Rechtsirrtum und brachte daher Art. 20 StGB zur Anwendung. Nach unangefochtener, herrschender Lehre regelt Art. 20 StGB ausschliesslich den Verbotsirrtum, d.h. den Irrtum darüber, ob ein bestimmtes Verhalten verboten und unter Strafe gestellt ist, nicht aber den Irrtum über Tatbestandsmerkmale rechtlicher Natur, welche in einem andern Rechtsgebiet (ausserhalb des Strafrechts) umschrieben werden. Hat sich der Täter über Lebensvorgänge oder Umstände geirrt, welche einem objektiven gesetzlichen Tatbestandsmerkmal entsprechen, wie beispielsweise über die Fremdheit der Sache, die er wegnimmt, so befand er sich in einer irrigen Vorstellung über den rechtserheblichen Sachverhalt ( BGE 82 IV 202 ; BGE 85 IV 192 f., SCHULTZ, A.T. I, 4. Aufl. S. 226; NOLL, A.T. I, S. 132; HAUSER-REHBERG, Strafrecht I, 3. Aufl. S. 78 und 157; vgl. zum deutschen Recht: BLEI, Strafrecht I A.T., 18. Aufl. S. 201). Geht man von dieser zutreffenden Abgrenzung zwischen Sachverhaltsirrtum (Tatbestandsirrtum gemäss Art. 19 StGB ) und Rechtsirrtum ( Art. 20 StGB ) aus, so ist der von der Vorinstanz festgestellte Irrtum - falls die zivilrechtliche Beurteilung der Situation durch den Beschwerdeführer überhaupt unrichtig gewesen sein sollte - nicht ein Rechtsirrtum, sondern ein Sachverhaltsirrtum, denn R. irrte sich nicht über die strafrechtliche Regelung; dass die Wegnahme fremder Sachen strafbar ist, war für ihn selbstverständlich nicht zweifelhaft. Sein allfälliger Irrtum konnte sich nur auf die Frage beziehen, ob die von ihm gelieferten, noch nicht eingebauten Materialien bereits fremde Sachen seien, bzw. darauf, ob er nicht (selbst bei Annahme eines vorherigen Übergangs des Eigentums auf den Erwerber) durch die Aufhebung des Vertrages und die Zustimmung des Vertragspartners/Käufers G. kraft dieser neuen Vereinbarung zur Rücknahme des verbleibenden Materials berechtigt sei. Ein solcher Irrtum über die zivilrechtliche Situation ist als Sachverhaltsirrtum zu behandeln, d.h. der Täter ist gemäss Art. 19 StGB nach dem Sachverhalt zu beurteilen, den er sich vorgestellt hat. Aufgrund der Feststellungen der Vorinstanz ist davon auszugehen, dass der Beschwerdeführer glaubte, er sei als Eigentümer oder kraft neuer vertraglicher Abmachung zur Rücknahme des in Frage stehenden Baumaterials befugt. Sein Vorsatz ging also nicht dahin, fremden Gewahrsam zu brechen, sich rechtswidrig fremde Sachen anzueignen, und sich auf diesem Wege unrechtmässig zu bereichern. Auch wenn die zivilrechtliche BGE 109 IV 65 S. 68 Auffassung der Vorinstanz sich als richtig erweisen sollte, so hat der Beschwerdeführer aufgrund seiner - unter diesen Umständen irrigen - Vorstellung über den Sachverhalt, insbesondere über die Gewahrsams- und Eigentumsverhältnisse, durch den Abtransport des Materials weder Art. 137 noch Art. 143 StGB erfüllt. Das angefochtene Urteil verletzt daher Bundesrecht.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