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63</w:t>
      </w:r>
    </w:p>
    <w:p>
      <w:r>
        <w:t>Bundesgericht (BGE), 1983-01-01, DE</w:t>
      </w:r>
    </w:p>
    <w:p>
      <w:r>
        <w:rPr>
          <w:b/>
        </w:rPr>
        <w:t xml:space="preserve">Quelle: </w:t>
      </w:r>
      <w:r>
        <w:t>https://mcp.opencaselaw.ch/entscheid/bge_BGE_109_IV_63</w:t>
      </w:r>
    </w:p>
    <w:p>
      <w:r>
        <w:t>FR: ATF 109 IV 63</w:t>
      </w:r>
    </w:p>
    <w:p>
      <w:r>
        <w:t>IT: DTF 109 IV 63</w:t>
      </w:r>
    </w:p>
    <w:p>
      <w:pPr>
        <w:pStyle w:val="Heading2"/>
      </w:pPr>
      <w:r>
        <w:t>Regeste</w:t>
      </w:r>
    </w:p>
    <w:p>
      <w:r>
        <w:t>Regeste Verjährung von Entschädigungsansprüchen gemäss Art. 122 BStP. Die absolute Verjährung von Entschädigungsforderungen für die ausgestandene Untersuchungshaft und damit verbundene Nachteile im Sinne von Art. 122 BStP tritt 10 Jahre nach Entlassung aus der Untersuchungshaft ein.</w:t>
      </w:r>
    </w:p>
    <w:p>
      <w:r>
        <w:t>Regeste Prescription de la demande d'indemnité au sens de l'art. 122 PPF. La prescription absolue du droit à l'indemnité pour préjudice résultant de la détention préventive, au sens de l'art. 122 PPF, est acquise 10 ans après la relaxe.</w:t>
      </w:r>
    </w:p>
    <w:p>
      <w:r>
        <w:t>Regesto Prescrizione del diritto ad un'indennità ai sensi dell'art. 122 PP. La prescrizione assoluta del diritto ad un'indennità per il pregiudizio risultante dal carcere preventivo, ai sensi dell'art. 122 PP, interviene trascorsi 10 anni dalla scarcerazione.</w:t>
      </w:r>
    </w:p>
    <w:p>
      <w:pPr>
        <w:pStyle w:val="Heading2"/>
      </w:pPr>
      <w:r>
        <w:t>Erwägungen</w:t>
      </w:r>
    </w:p>
    <w:p>
      <w:r>
        <w:rPr>
          <w:b/>
        </w:rPr>
        <w:t>E. 1</w:t>
      </w:r>
    </w:p>
    <w:p>
      <w:r>
        <w:t>Art. 122 BStP sieht vor, dass dem Beschuldigten, gegen den die Untersuchung eingestellt wird, auf dessen Begehren eine Entschädigung für die Untersuchungshaft und für andere Nachteile, die er erlitten hat, auszurichten ist. Zur Frage der Verjährung dieser Entschädigungsansprüche enthält die genannte Gesetzesbestimmung BGE 109 IV 63 S. 64 nichts. Das Institut der Verjährung wird indessen aufgrund eines allgemeinen Rechtsgrundsatzes auch dann anerkannt, wenn eine ausdrückliche Bestimmung darüber fehlt ( BGE 108 Ib 151 E. 4a mit Verweisungen); dies gilt sowohl für Forderungen des Gemeinwesens an den Bürger wie auch für solche des Bürgers an das Gemeinwesen ( BGE 97 I 626 E. 6a). Sofern im massgeblichen Erlass Vorschriften über Beginn und Dauer der Verjährung sowohl für den geltend gemachten Entschädigungsanspruch als auch für vergleichbare Forderungen fehlen, sind die gesetzlichen Fristenregelungen anderer Erlasse für verwandte Ansprüche heranzuziehen ( BGE 108 Ib 151 E. 4a).</w:t>
      </w:r>
    </w:p>
    <w:p>
      <w:r>
        <w:rPr>
          <w:b/>
        </w:rPr>
        <w:t>E. 2</w:t>
      </w:r>
    </w:p>
    <w:p>
      <w:r>
        <w:t>Als Erlass, der vergleichbare Entschädigungsansprüche regelt und überdies Bestimmungen zur Verjährung aufweist, bietet sich hier das Verantwortlichkeitsgesetz an, das in Art. 20 für Begehren auf Schadenersatz und Genugtuung eine absolute Verjährungsfrist von 10 Jahren seit dem Tage der schädigenden Handlung vorsieht. Diese Regelung entspricht im übrigen derjenigen in Art. 60 Abs. 1 OR . Gründe, welche gegen die analoge Heranziehung der Verjährungsvorschriften in Art. 20 Verantwortlichkeitsgesetz sprächen, liegen nicht vor; vielmehr trägt die Dauer der absoluten Verjährungsfrist von 10 Jahren für Entschädigungsforderungen aus Art. 122 BStP sowohl den Interessen des Beschuldigten nach einer nicht zu kurz bemessenen Frist als auch den öffentlichen Interessen an der Wahrung der Rechtssicherheit Rechnung.</w:t>
      </w:r>
    </w:p>
    <w:p>
      <w:r>
        <w:rPr>
          <w:b/>
        </w:rPr>
        <w:t>E. 3</w:t>
      </w:r>
    </w:p>
    <w:p>
      <w:r>
        <w:t>Im vorliegenden Fall verlangt der Gesuchsteller eine Entschädigung für die ausgestandene Untersuchungshaft und damit verbundene Nachteile. Ausgehend davon, dass die Untersuchungshaft als Schadensursache anzusehen ist, rechtfertigt es sich, die absolute Verjährung mit dem Tag der Haftentlassung beginnen zu lassen. In concreto wurde C. am 6. Juli 1972 aus der Untersuchungshaft entlassen. Die 10jährige Verjährungsfrist lief deshalb am 7. Juli 1982 ab. Im Zeitpunkt des Entschädigungsbegehrens vom 14. April 1983 war die Forderung demnach verjährt.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