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159</w:t>
      </w:r>
    </w:p>
    <w:p>
      <w:r>
        <w:t>Bundesgericht (BGE), 1983-01-01, DE</w:t>
      </w:r>
    </w:p>
    <w:p>
      <w:r>
        <w:rPr>
          <w:b/>
        </w:rPr>
        <w:t xml:space="preserve">Quelle: </w:t>
      </w:r>
      <w:r>
        <w:t>https://mcp.opencaselaw.ch/entscheid/bge_BGE_109_IV_159</w:t>
      </w:r>
    </w:p>
    <w:p>
      <w:r>
        <w:t>FR: ATF 109 IV 159</w:t>
      </w:r>
    </w:p>
    <w:p>
      <w:r>
        <w:t>IT: DTF 109 IV 159</w:t>
      </w:r>
    </w:p>
    <w:p>
      <w:pPr>
        <w:pStyle w:val="Heading2"/>
      </w:pPr>
      <w:r>
        <w:t>Regeste</w:t>
      </w:r>
    </w:p>
    <w:p>
      <w:r>
        <w:t>Regeste Art. 47 BG über internationale Rechtshilfe in Strafsachen (IRSG). Während des Auslieferungsverfahrens ist die Verhaftung des Angeschuldigten die Regel. Ausnahmen rechtfertigen sich nur bei Vorliegen der in Art. 47 Abs. 1 lit. a oder b und Abs. 2 IRSG genannten Voraussetzungen.</w:t>
      </w:r>
    </w:p>
    <w:p>
      <w:r>
        <w:t>Regeste Art. 47 de la loi fédérale sur l'entraide internationale en matière pénale (EIMP). Durant la procédure d'extradition, la détention de l'accusé est la règle. Des exceptions ne se justifient que si les conditions énumérées à l'art. 47 al. 1 a ou b et al. 2 EIMP sont réalisées.</w:t>
      </w:r>
    </w:p>
    <w:p>
      <w:r>
        <w:t>Regesto Art. 47 della legge federale sull'assistenza internazionale in materia penale (AIMP). Durante la procedura d'estradizione la carcerazione della persona perseguita costituisce la regola. Deroghe si giustificano solo ove siano date le condizioni enunciate dall'art. 47 cpv. 1 lett. a o b e cpv. 2 AIMP.</w:t>
      </w:r>
    </w:p>
    <w:p>
      <w:pPr>
        <w:pStyle w:val="Heading2"/>
      </w:pPr>
      <w:r>
        <w:t>Erwägungen</w:t>
      </w:r>
    </w:p>
    <w:p>
      <w:r>
        <w:rPr>
          <w:b/>
        </w:rPr>
        <w:t>E. 1</w:t>
      </w:r>
    </w:p>
    <w:p>
      <w:r>
        <w:t>Nach Art. 47 des Bundesgesetzes über internationale Rechtshilfe in Strafsachen (IRSG) ist die Verhaftung des BGE 109 IV 159 S. 160 Angeschuldigten während des Auslieferungsverfahrens die Regel. Ausnahmen rechtfertigen sich nur, wenn die Voraussetzungen des Art. 47 Abs. 1 lit. a oder b IRSG gegeben sind oder wenn gemäss Art. 47 Abs. 2 IRSG wegen Hafterstehungsunfähigkeit des Verfolgten oder wegen anderer Gründe (z.B. offensichtliche Unbegründetheit des Auslieferungsbegehrens) die Anordnung anderer sichernder Massnahmen als geboten erscheint.</w:t>
      </w:r>
    </w:p>
    <w:p>
      <w:r>
        <w:rPr>
          <w:b/>
        </w:rPr>
        <w:t>E. 2</w:t>
      </w:r>
    </w:p>
    <w:p>
      <w:r>
        <w:t>Dass B. nicht hafterstehungsfähig und das Auslieferungsgesuch der türkischen Botschaft a priori unbegründet sei, wird in der Beschwerde selber nicht behauptet. Es wird in dieser auch nicht der Versuch unternommen nachzuweisen, dass der Beschwerdeführer zur Zeit der ihm zur Last gelegten Taten nicht am Tatort gewesen sei. Zu prüfen bleibt daher einzig noch, ob Anhaltspunkte dafür bestehen, dass er sich voraussichtlich der Auslieferung entziehen und die Strafuntersuchung gefährden werde. Ersteres wird in der Beschwerde bestritten. B. macht geltend, er habe schon seit 1981 gewusst, dass er vom türkischen Staat weiter verfolgt werde. Dennoch habe er sich vor Polizeigericht des Kantons Basel-Stadt wegen Missachtung der Einreisesperre und Verwendung eines echten, aber ihm nicht zustehenden Ausweispapiers verantwortet. Auch habe er sich im Rahmen des von ihm angestrengten Asylverfahrens den Behörden für sämtliche Befragungen zur Verfügung gestellt und sei stets einer Erwerbstätigkeit nachgegangen. Diese Argumentation lässt ausser Acht, dass das Asylgesuch des Beschwerdeführers am 15. Oktober 1982 in erster Instanz abgewiesen worden ist und dass die B. angeblich seit 1981 bekannte Tatsache, wonach der türkische Staat ihn wegen strafbarer Handlungen verfolge, erst mit der Einreichung des Auslieferungsgesuchs durch die türkische Botschaft eine für ihn bedrohliche Aktualität erlangt hat. Angesichts dieser veränderten Sachlage aber, ist die Möglichkeit, er werde sich durch Flucht der Auslieferung entziehen, in solche Nähe gerückt, dass dem Begehren um Entlassung aus der Auslieferungshaft nicht entsprochen werden kann. Daran ändert auch nichts, dass der Beschwerdeführer früher stets einer Erwerbstätigkeit nachgegangen ist, steht dies einer Flucht doch in keiner Weise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