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145</w:t>
      </w:r>
    </w:p>
    <w:p>
      <w:r>
        <w:t>Bundesgericht (BGE), 1983-01-01, DE</w:t>
      </w:r>
    </w:p>
    <w:p>
      <w:r>
        <w:rPr>
          <w:b/>
        </w:rPr>
        <w:t xml:space="preserve">Quelle: </w:t>
      </w:r>
      <w:r>
        <w:t>https://mcp.opencaselaw.ch/entscheid/bge_BGE_109_IV_145</w:t>
      </w:r>
    </w:p>
    <w:p>
      <w:r>
        <w:t>FR: ATF 109 IV 145</w:t>
      </w:r>
    </w:p>
    <w:p>
      <w:r>
        <w:t>IT: DTF 109 IV 145</w:t>
      </w:r>
    </w:p>
    <w:p>
      <w:pPr>
        <w:pStyle w:val="Heading2"/>
      </w:pPr>
      <w:r>
        <w:t>Regeste</w:t>
      </w:r>
    </w:p>
    <w:p>
      <w:r>
        <w:t>Regeste Art. 24 MSchG; Art. 3 und 7 StGB. Räumliche Geltung des Markenschutzes. Das Inverkehrbringen von unrechtmässig mit einer Marke versehenen Waren im inländischen Schutzland ist mit dem Versand an den ausländischen Käufer vollendet.</w:t>
      </w:r>
    </w:p>
    <w:p>
      <w:r>
        <w:t>Regeste Art. 24 LMF; Art. 3 et 7 CP. Etendue de la protection de la marque. La commercialiation de marchandises munies d'une marque illicite sur le marché intérieur du pays accordant la protection est réalisée dès l'envoi de ces marchandises à un acheteur étranger.</w:t>
      </w:r>
    </w:p>
    <w:p>
      <w:r>
        <w:t>Regesto Art. 24 LMF; Art. 3 e 7 CP. Estensione territoriale della protezione della marca. La commercializzazione di merci munite di una marca illecita sul mercato interno dello Stato che accorda la protezione è realizzata con l'invio di tali merci a un acquirente all'estero.</w:t>
      </w:r>
    </w:p>
    <w:p>
      <w:pPr>
        <w:pStyle w:val="Heading2"/>
      </w:pPr>
      <w:r>
        <w:t>Erwägungen</w:t>
      </w:r>
    </w:p>
    <w:p>
      <w:r>
        <w:rPr>
          <w:b/>
        </w:rPr>
        <w:t>E. 2</w:t>
      </w:r>
    </w:p>
    <w:p>
      <w:r>
        <w:t>Der in Biel mit Uhrenbestandteilen Handel betreibende ausländische Beschwerdegegner G. liess gegen den Willen der Berechtigten in der Schweiz Bestandteile des Markentyps "Rolex" herstellen, mit dem markenrechtlich geschützten "Rolex"-Krönchen versehen, und verkaufte sie, wie sich aus den in seinen Geschäftsräumen gefundenen Rechnungen ergibt, nach Paraguay der Firma J. B. SA. Damit hat er die Marke eines andern für seine eigenen Erzeugnisse bzw. Waren im Sinne von Art. 24 lit. b MSchG verwendet, hat mit rechtswidrig angebrachter Marke versehene Waren im Sinne von Art. 24 lit. c MSchG verkauft oder in Verkehr gebracht und zudem Massnahmen getroffen, um Verwechslungen mit den Waren, Werken, Leistungen oder mit dem Geschäftsbetrieb eines andern - im gegebenen Falle der Firma Montres Rolex SA - herbeizuführen ( Art. 13 Abs. 1 lit. d UWG ). G. hat daher alle für die Verwirklichung der eingeklagten Straftatbestände wesentlichen Tathandlungen im Schutzland, in der Schweiz, ausgeführt, womit nach dem in Art. 3 und 7 StGB verankerten Territorialprinzip die schweizerische Strafrechtshoheit begründet ist (SCHULTZ, Allgemeiner Teil des Strafrechts, 4. Aufl., 1982, S. 103, 108 mit Hinweisen; BGE 107 IV 2 ; BGE 99 IV 122 E. 1; BGE 78 I 49 ). Da die schweizerische Gesetzgebung nur für die Schweiz Monopolrechte und strafrechtlichen Schutz gewähren kann, fallen auch nur die im Inland begangenen Handlungen unter Art. 24 ff. MSchG . Indessen genügt es, wenn eine Teilhandlung im Inland ausgeführt wurde, "wie der Versand unrechtmässig markierter Ware in das Ausland, wo die Marke nicht geschützt ist" (vgl. DAVID, Kommentar zum schweizerischen Markenschutzgesetz, 1960, 2. Aufl., S. 288 unter Hinweis auf ZR 35, 1936, Nr. 56). Mit dem Verkauf hat der Beschwerdegegner die rechtswidrig mit einer Marke versehene Ware auch in Verkehr gesetzt, welcher Tatbestand beim Distanzkauf mit der Absendung der Ware vollendet ist, und nicht erst mit der Ablieferung an den Käufer (MATTER, Kommentar zum Markenschutzgesetz, 1939, zu Art. 24, IV, S. 228).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