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117</w:t>
      </w:r>
    </w:p>
    <w:p>
      <w:r>
        <w:t>Bundesgericht (BGE), 1983-01-01, DE</w:t>
      </w:r>
    </w:p>
    <w:p>
      <w:r>
        <w:rPr>
          <w:b/>
        </w:rPr>
        <w:t xml:space="preserve">Quelle: </w:t>
      </w:r>
      <w:r>
        <w:t>https://mcp.opencaselaw.ch/entscheid/bge_BGE_109_IV_117</w:t>
      </w:r>
    </w:p>
    <w:p>
      <w:r>
        <w:t>FR: ATF 109 IV 117</w:t>
      </w:r>
    </w:p>
    <w:p>
      <w:r>
        <w:t>IT: DTF 109 IV 117</w:t>
      </w:r>
    </w:p>
    <w:p>
      <w:pPr>
        <w:pStyle w:val="Heading2"/>
      </w:pPr>
      <w:r>
        <w:t>Regeste</w:t>
      </w:r>
    </w:p>
    <w:p>
      <w:r>
        <w:t>Regeste Art. 198/199 StGB; Gewinnsucht. Der Tatbestand der Kuppelei ist erfüllt, sobald der Täter der Unzucht Vorschub leistet, um sich finanzielle Vorteile zu verschaffen; ein besonders intensives Gewinnstreben ist nicht erforderlich (Präzisierung der Rechtsprechung).</w:t>
      </w:r>
    </w:p>
    <w:p>
      <w:r>
        <w:t>Regeste Art. 198/199 CP; dessein de lucre. Il y a proxénétisme aussitôt que l'auteur favorise la débauche pour se procurer un avantage pécuniaire; il n'est pas nécessaire qu'il fasse preuve d'un désir particulièrement marqué de s'enrichir (précision de la jurisprudence).</w:t>
      </w:r>
    </w:p>
    <w:p>
      <w:r>
        <w:t>Regesto Art. 198/199 CP; fine di lucro. La fattispecie legale del lenocinio è data ove l'agente favorisca la libidine per procurarsi un vantaggio pecuniario; non occorre che egli dia prova di un desiderio particolarmente intenso di arricchirsi (precisazione della giurisprudenza).</w:t>
      </w:r>
    </w:p>
    <w:p>
      <w:pPr>
        <w:pStyle w:val="Heading2"/>
      </w:pPr>
      <w:r>
        <w:t>Erwägungen</w:t>
      </w:r>
    </w:p>
    <w:p>
      <w:r>
        <w:rPr>
          <w:b/>
        </w:rPr>
        <w:t>E. 2</w:t>
      </w:r>
    </w:p>
    <w:p>
      <w:r>
        <w:t>Auszugehen ist von den tatsächlichen Feststellungen, dass der Beschwerdeführer eine Liegenschaft in Luzern, die in entsprechend eingerichtete Appartements aufgeteilt ist, an Dirnen vermietet BGE 109 IV 117 S. 119 hat und dass er auf diesem Wege Mietzinse erzielte, die (nach seinen eigenen Angaben) von andern Mietern in diesem Gebiet nicht bezahlt würden. Durch die Vermietung von Räumen, in denen die gewerbsmässige Unzucht ausgeübt werden kann und darf, leistete der Beschwerdeführer unbestrittenermassen der Unzucht Vorschub im Sinne von Art. 198 StGB . Da er im Rahmen seiner faktischen Möglichkeiten bereit war, immer wieder an Dirnen zu vermieten, um auf diesem Wege ein Erwerbseinkommen zu erzielen, handelte er überdies gewerbsmässig (vgl. BGE 99 IV 88 , BGE 94 IV 21 , BGE 76 IV 239 E. 4).</w:t>
      </w:r>
    </w:p>
    <w:p>
      <w:r>
        <w:rPr>
          <w:b/>
        </w:rPr>
        <w:t>E. 3</w:t>
      </w:r>
    </w:p>
    <w:p>
      <w:r>
        <w:t>Das einzige Tatbestandsmerkmal des Art. 199 StGB , das mit der Nichtigkeitsbeschwerde in substantiierter Form bestritten wird, ist die Gewinnsucht. Kuppelei setzt voraus, dass die Förderung der Unzucht ("Vorschub leisten") aus Gewinnsucht erfolgt. a) In BGE 107 IV 119 hat der Kassationshof mit einlässlicher Begründung dargelegt, dass den Begriffen "Gewinnsucht", "gewinnsüchtige Absicht" in den Tatbestandsumschreibungen des besondern Teils des Strafgesetzbuches, wo im französischen Text der Ausdruck "dessein de lucre" verwendet wird, nicht die gleiche Bedeutung zukommt, wie dem im französischen Wortlaut als "cupidité" bezeichneten Strafzumessungsgrund in den Art. 48 Ziff. 1 Abs. 2, 50 Abs. 1 und 106 Abs. 2 StGB. Während im allgemeinen Teil mit Gewinnsucht ("cupidité") ein hemmungsloses oder besonders ausgeprägtes, zur Sucht gewordenes Streben nach geldwerten Vorteilen erfasst werden soll (vgl. BGE 94 IV 100 , BGE 96 IV 181 , BGE 100 IV 264 ), ist mit "dessein de lucre" nicht eine in quantitativer Hinsicht aussergewöhnliche Gier nach finanziellen Vorteilen gemeint, sondern ein moralisch verwerfliches Bereicherungsstreben, das nicht durch ungewöhnliches Ausmass charakterisiert ist. Ob letztlich zwischen dem so verstandenen "dessein de lucre" und der blossen Bereicherungsabsicht ("dessein d'enrichissement") zu unterscheiden sei oder ob es sich dabei praktisch um synonyme Begriffe handle (vgl. SCHULTZ, ZBJV 118/1982 S. 552 f., STRATENWERTH, Besonderer Teil I, 3. Aufl. S. 285), kann hier offen bleiben. Wesentlich ist bei der in BGE 107 IV 119 begründeten Rechtsprechung nicht die theoretische Frage einer allfälligen subtilen Abgrenzung zur blossen Bereicherungsabsicht, sondern entscheidend ist, dass - trotz der Verwendung des gleichen Wortes im deutschen und im italienischen Text - zwischen dem, was in den erwähnten Bestimmungen des allgemeinen Teils als Gewinnsucht/"cupidité" umschrieben wird, und dem, was im besonderen Teil des StGB mit dem Tatbestandsmerkmal BGE 109 IV 117 S. 120 "dessein de lucre"/Gewinnsucht gemeint ist, ein grundsätzlicher Unterschied besteht. Während in den Bestimmungen des allgemeinen Teils eine als eigentliche Sucht erscheinende Grundhaltung als zusätzlicher Strafzumessungsgrund erfasst wird, geht es in den Art. 129 Abs. 2, 159 Abs. 2, 198/199 (200), 219 Abs. 2 und 313 StGB darum, entweder die Strafbarkeit überhaupt davon abhängig zu machen, dass das umschriebene, an sich unmoralische Verhalten zur Erlangung materieller Vorteile (Bereicherung) erfolgte (Art. 198/199, 313 StGB), oder eine ohnehin strafbare Handlung einer besondern Strafdrohung zu unterwerfen, wenn die Bereicherung des Täters das Motiv gebildet hat (Art. 129 Abs. 2, 159 Abs. 2, 219 Abs. 2 StGB). Aus der in BGE 107 IV 119 einlässlich begründeten, auch vom Beschwerdeführer nicht grundsätzlich in Frage gestellten Interpretation, an welcher festzuhalten ist, ergibt sich, dass der Tatbestand der Kuppelei erfüllt ist, sobald der Täter der Unzucht Vorschub leistet, um sich finanzielle Vorteile zu verschaffen. Der Nachweis eines besonders intensiven, leidenschaftlichen, süchtigen Gewinnstrebens (im Sinne der Praxis zum Begriff Gewinnsucht/"cupidité") ist nicht erforderlich. Es gibt nicht ein zwar aus materiellen Gründen (in Bereicherungsabsicht) erfolgendes, aber die Schwelle der Intensität des Gewinnstrebens nicht erreichendes und daher nicht strafbares Vorschubleisten im Sinne der Art. 198/199 StGB. b) Nach den Grundsätzen dieser Rechtsprechung hat der Beschwerdeführer dadurch, dass er planmässig die aus der Vermietung an Prostituierte sich ergebende bessere Rendite seiner Liegenschaft anstrebte, das Tatbestandselement der Gewinnsucht erfüllt. Ob die Differenz zwischen den erzielten Mieten und dem ortsüblichen Zins bei "normaler" Vermietung die für den Tatbestand des Wuchers massgebenden Grenzwerte überschreitet, ist bei dieser Betrachtungsweise nicht von Belang (vgl. BGE 89 IV 19 ). Der Beschwerdeführer hat durch die Ausstattung und Vermietung seines Hauses der Unzucht Vorschub geleistet ( BGE 98 IV 257 E. 2), und zwar - wie sich aus seinen eigenen Aussagen ergibt -, um auf diesem Wege höhere Mieten zu erzielen. Es wird ihm nicht vorgeworfen, er habe dabei seine Mieterinnen unter Berücksichtigung ihres speziellen Gewerbes masslos überfordert. Dies ist auch nicht Voraussetzung für die Bestrafung wegen Kuppelei. Es genügt, wenn der Täter der Unzucht Vorschub leistet, um dadurch Gewinn zu erzielen. Die angefochtene Verurteilung verletzt daher Bundesrecht nicht. Dass offenbar gegenüber der Förderung der Unzucht durch BGE 109 IV 117 S. 121 Vermietung geeigneter Räume zum Teil von den Strafverfolgungsbehörden grosse Toleranz geübt und nichts unternommen wird, ändert die Rechtslage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