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10</w:t>
      </w:r>
    </w:p>
    <w:p>
      <w:r>
        <w:t>Bundesgericht (BGE), 1983-01-01, DE</w:t>
      </w:r>
    </w:p>
    <w:p>
      <w:r>
        <w:rPr>
          <w:b/>
        </w:rPr>
        <w:t xml:space="preserve">Quelle: </w:t>
      </w:r>
      <w:r>
        <w:t>https://mcp.opencaselaw.ch/entscheid/bge_BGE_109_IV_10</w:t>
      </w:r>
    </w:p>
    <w:p>
      <w:r>
        <w:t>FR: ATF 109 IV 10</w:t>
      </w:r>
    </w:p>
    <w:p>
      <w:r>
        <w:t>IT: DTF 109 IV 10</w:t>
      </w:r>
    </w:p>
    <w:p>
      <w:pPr>
        <w:pStyle w:val="Heading2"/>
      </w:pPr>
      <w:r>
        <w:t>Regeste</w:t>
      </w:r>
    </w:p>
    <w:p>
      <w:r>
        <w:t>Regeste Art. 43 Ziff. 3 Abs. 2 StGB. Die Aufhebung einer ambulanten Massnahme und die daran anschliessende Anordnung der Vollstreckung der Freiheitsstrafe setzen keine förmliche Mahnung im Sinne von Art. 41 Ziff. 3 StGB voraus.</w:t>
      </w:r>
    </w:p>
    <w:p>
      <w:r>
        <w:t>Regeste Art. 43 ch. 3 al. 2 CP. La levée d'un traitement ambulatoire et l'exécution de la peine privative de liberté peuvent être ordonnées sans qu'un avertissement formel au sens de l'art. 41 ch. 3 CP ait été ordonné au préalable.</w:t>
      </w:r>
    </w:p>
    <w:p>
      <w:r>
        <w:t>Regesto Art. 43 n. 3 cpv. 2 CP. La revoca di un trattamento ambulatorio e l'esecuzione della pena privativa della libertà non presuppongono un formale avvertimento ai sensi dell'art. 41 n. 3 CP.</w:t>
      </w:r>
    </w:p>
    <w:p>
      <w:pPr>
        <w:pStyle w:val="Heading2"/>
      </w:pPr>
      <w:r>
        <w:t>Erwägungen</w:t>
      </w:r>
    </w:p>
    <w:p>
      <w:r>
        <w:rPr>
          <w:b/>
        </w:rPr>
        <w:t>E. 2</w:t>
      </w:r>
    </w:p>
    <w:p>
      <w:r>
        <w:t>a) Der Beschwerdeführer rügt die Verletzung von Art. 41 Ziff. 3 StGB . Im Rahmen der Anordnung einer ambulanten Massnahme sehe das Gesetz in Art. 43 Ziff. 2 StGB die Möglichkeit vor, entsprechend Art. 41 Ziff. 2 StGB u.a. Weisungen zu erteilen; bei der Bestimmung der Folgen einer Zuwiderhandlung gegen solche richterliche Weisungen müsse deshalb Art. 41 Ziff. 3 StGB zur Anwendung gelangen, wonach die Anordnung des Vollzugs der Freiheitsstrafe nur nach vorhergehender förmlicher Mahnung durch den Richter zulässig ist. Eine derartige Mahnung sei in concreto aber nicht erfolgt. b) Vorliegend geht es um die Aufhebung einer ambulanten Massnahme und nicht um die Anordnung der Vollstreckung einer Freiheitsstrafe infolge Widerrufs des bedingten Strafvollzugs im Sinne von Art. 41 Ziff. 3 StGB . Die Aufhebung der ambulanten Behandlung setzt nur voraus, dass sich diese als unzweckmässig oder für andere gefährlich erwiesen hat. Eine direkte Anwendung von Art. 41 Ziff. 3 StGB beim Entscheid über die Aufhebung einer ambulanten Therapie ist ausgeschlossen; diese Bestimmung darf aber im Einzelfall auf dem Wege der Analogie herangezogen werden. c) Die ambulante Behandlung kann - muss aber nicht - als unzweckmässig erscheinen, wenn sich der Verurteilte (analog demjenigen, der sich beharrlich der Schutzaufsicht entzieht) ihr widersetzt, indem er der Therapie fernbleibt. Auch die Begehung neuer Delikte während der ambulanten Behandlung kann auf deren Unzweckmässigkeit hinweisen. Immerhin muss nicht jedes neue Vergehen oder Verbrechen, selbst wenn es von einer gewissen Schwere ist, zwingend zur Aufhebung der ambulanten Therapie BGE 109 IV 10 S. 12 führen. Aufgrund der konkreten Umstände ist im Einzelfall zu prüfen, ob die Weiterführung der ambulanten Behandlung als zweckmässig erscheine. Vorliegend wird dem Beschwerdeführer vorgeworfen, die ambulante Behandlung (Gesprächstherapie) von sich aus abgebrochen und schon zwei Monate nach Anordnung der Massnahme erneut delinquiert (Jugendstrafe von 8 Monaten) zu haben. Besondere Umstände, die eine Weiterführung der ambulanten Behandlung trotzdem als zweckmässig erscheinen liessen, liegen nicht vor. Die Vorinstanz verletzte deshalb kein Bundesrecht, wenn sie auf Unzweckmässigkeit der ambulanten Behandlung schloss. d) Bei Aufhebung der ambulanten Massnahme infolge Unzweckmässigkeit hat der Richter über die Einweisung in eine Heil- oder Pflegeanstalt bzw. über den Vollzug der aufgeschobenen Freiheitsstrafe zu entscheiden. Die Anordnung der Vollstreckung der Strafe setzt gemäss Art. 43 Ziff. 3 StGB keine förmliche Mahnung voraus. Im übrigen würde im vorliegenden Fall auch die analoge Anwendung von Art. 41 Ziff. 3 StGB der Anordnung des Vollzugs der Freiheitsstrafe nicht im Wege stehen. Diese Bestimmung sieht die förmliche Mahnung nur für den Fall der Nichtbeachtung einer richterlich erteilten Weisung vor, nicht aber für den Widerruf wegen neuer Vergehen oder Verbrechen. Der Beschwerdeführer wurde am 11. Mai 1981 vom Amtsgericht Kleve/BRD zu einer Jugendstrafe von 8 Monaten verurteilt. Der Vollzug der Freiheitsstrafe wäre deshalb auch unter diesem Gesichtspunkt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