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471</w:t>
      </w:r>
    </w:p>
    <w:p>
      <w:r>
        <w:t>Bundesgericht (BGE), 1983-01-01, FR</w:t>
      </w:r>
    </w:p>
    <w:p>
      <w:r>
        <w:rPr>
          <w:b/>
        </w:rPr>
        <w:t xml:space="preserve">Quelle: </w:t>
      </w:r>
      <w:r>
        <w:t>https://mcp.opencaselaw.ch/entscheid/bge_BGE_109_II_471</w:t>
      </w:r>
    </w:p>
    <w:p>
      <w:r>
        <w:t>FR: ATF 109 II 471</w:t>
      </w:r>
    </w:p>
    <w:p>
      <w:r>
        <w:t>IT: DTF 109 II 471</w:t>
      </w:r>
    </w:p>
    <w:p>
      <w:pPr>
        <w:pStyle w:val="Heading2"/>
      </w:pPr>
      <w:r>
        <w:t>Regeste</w:t>
      </w:r>
    </w:p>
    <w:p>
      <w:r>
        <w:t>Regeste Art. 37 des Übereinkommens über den Beförderungsvertrag im internationalen Strassengüterverkehr (CMR); Rückgriff unter Frachtführern. Art. 37 CMR, der den Rückgriff unter aufeinanderfolgenden Frachtführern regelt, findet auch Anwendung auf die Rückgriffsklage eines Frachtführers gegen den Unterfrachtführer, den er beauftragt hat, den gesamten Transport an seiner Stelle auszuführen.</w:t>
      </w:r>
    </w:p>
    <w:p>
      <w:r>
        <w:t>Regeste Art. 37 de la Convention relative au contrat de transport international de marchandises par route (CMR); recours entre transporteurs. L'art. 37 CMR, relatif aux relations entre transporteurs successifs, s'applique aussi à l'action récursoire d'un transporteur contre le sous-voiturier qu'il a chargé d'effectuer le transport total à sa place.</w:t>
      </w:r>
    </w:p>
    <w:p>
      <w:r>
        <w:t>Regesto Art. 37 della Convenzione concernente il contratto di trasporto internazionale di merci su strada (CMR); regresso tra vettori. L'art. 37 CMR, che regola le relazioni tra vettori successivi, si applica anche all'azione di regresso di un vettore nei confronti di un altro vettore, da lui incaricato di effettuare in suo luogo e vece l'intero trasporto.</w:t>
      </w:r>
    </w:p>
    <w:p>
      <w:pPr>
        <w:pStyle w:val="Heading2"/>
      </w:pPr>
      <w:r>
        <w:t>Erwägungen</w:t>
      </w:r>
    </w:p>
    <w:p>
      <w:r>
        <w:rPr>
          <w:b/>
        </w:rPr>
        <w:t>E. 1</w:t>
      </w:r>
    </w:p>
    <w:p>
      <w:r>
        <w:t>Le litige se rapporte à un transport de marchandise par route entre la Suisse et l'Italie, l'une et l'autre parties à la Convention relative au contrat de transport international de marchandises par route (CMR; RS 0.741.611; ROLF 1970 p. 851 ss). Il est donc soumis aux dispositions de cette Convention et subsidiairement seulement, soit pour les points qu'elle ne règle pas, aux dispositions du Code des obligations ou d'autres lois fédérales ( ATF 107 II 240 ; AISSLINGER, Die Haftung des Strassenfrachtführens und die Frachtführerhaftpflicht-Versicherung, thèse Zurich 1975, p. 1 ss; NICKEL-LANZ, La Convention relative au contrat de transport international de marchandises par route, thèse Lausanne 1976, p. 14 ss).</w:t>
      </w:r>
    </w:p>
    <w:p>
      <w:r>
        <w:rPr>
          <w:b/>
        </w:rPr>
        <w:t>E. 2</w:t>
      </w:r>
    </w:p>
    <w:p>
      <w:r>
        <w:t>La cour cantonale a laissé indécise la question de la qualification juridique des rapports liant Sati à la défenderesse: contrat d'expédition, entre un expéditeur et un voiturier, ou contrat de transport, entre un voiturier et un sous-voiturier? La BGE 109 II 471 S. 473 question doit être tranchée dans ce dernier sens. Société s'occupant à titre professionnel de transports, Sati a été chargée par les Ateliers des Charmilles S.A. d'effectuer le transport par camion d'une machine de Genève à Milan, ce qu'elle a accepté, établissant en conséquence la lettre de voiture qui constatait ce contrat de transport. Elle doit dès lors être considérée comme transporteur bien qu'elle ait sous-traité le transport à la défenderesse, qui l'a elle-même confié à la maison Vionnet. Ces deux dernières entreprises ont la qualité de sous-voituriers, également parties au contrat de transport concrétisé par la lettre de voiture, aux conditions de celle-ci. En pareil cas, les dispositions de la Convention relatives au transport effectué par transporteurs successifs ( art. 34 ss CMR ) sont applicables, en particulier l'art. 37 concernant le recours entre transporteurs ( ATF 107 II 240 ss consid. 3-4; AISSLINGER, op.cit., p. 98 ss).</w:t>
      </w:r>
    </w:p>
    <w:p>
      <w:r>
        <w:rPr>
          <w:b/>
        </w:rPr>
        <w:t>E. 3</w:t>
      </w:r>
    </w:p>
    <w:p>
      <w:r>
        <w:t>Le 29 mars 1978, Sati a signé une "quittance d'indemnité" par laquelle elle déclarait avoir reçu de la demanderesse la somme de 192'000 francs en règlement du dommage consécutif au vol de la machine et céder à la compagnie d'assurances tous ses "droits en dommages-intérêts" contre des tiers résultant de ce sinistre. Cette cession est conforme à l'art. 27 des conditions générales d'assurance aux termes duquel le preneur d'assurance cède à l'assureur "tous les droits contre des tiers". La demanderesse agit donc comme cessionnaire des droits que le transporteur Sati peut exercer contre des tiers en raison du vol ayant donné lieu à l'indemnité d'assurance. L'action exercée en cette qualité par la demanderesse étant dirigée contre le sous-voiturier chargé du transport par Sati, on se trouve en présence d'un recours entre transporteurs régi par l' art. 37 CMR , et non par l'art. 17 relatif à la responsabilité du transporteur envers l'expéditeur ou le destinataire. Selon l'art. 37 lettre a, le transporteur par le fait duquel le dommage a été causé doit seul supporter l'indemnité, qu'il l'ait payée lui-même ou qu'elle ait été payée par un autre transporteur. En l'espèce, le dommage ne peut avoir été "causé" que par le fait du sous-voiturier Vionnet, auquel la défenderesse a confié l'exécution du transport litigieux. L'application des lettres b et c de l' art. 37 CMR n'entre pas en considération. Le transporteur Vionnet, qui n'est pas partie au procès, doit donc seul supporter l'indemnité, qui ne peut être réclamée à la défenderesse. L'action exercée contre celle-ci est ainsi mal dirigée et doit être rejetée. BGE 109 II 471 S. 474 Dans le cadre de son champ d'application, la Convention relative au contrat de transport international de marchandises par route l'emporte, en tant que lex specialis, sur les dispositions du Code des obligations et de la loi fédérale sur le contrat d'assurance, lesquelles ne s'appliquent qu'à titre subsidiaire (cf. consid. 1 ci-dessus). Le problème du recours entre transporteurs qui se pose en l'espèce étant réglé par la Convention, il n'y a pas de place pour l'application, discutée par les parties et les juridictions cantonales, des art. 50-51 CO et 14, 72, 97-98 LCA.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