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447</w:t>
      </w:r>
    </w:p>
    <w:p>
      <w:r>
        <w:t>Bundesgericht (BGE), 1983-01-01, FR</w:t>
      </w:r>
    </w:p>
    <w:p>
      <w:r>
        <w:rPr>
          <w:b/>
        </w:rPr>
        <w:t xml:space="preserve">Quelle: </w:t>
      </w:r>
      <w:r>
        <w:t>https://mcp.opencaselaw.ch/entscheid/bge_BGE_109_II_447</w:t>
      </w:r>
    </w:p>
    <w:p>
      <w:r>
        <w:t>FR: ATF 109 II 447</w:t>
      </w:r>
    </w:p>
    <w:p>
      <w:r>
        <w:t>IT: DTF 109 II 447</w:t>
      </w:r>
    </w:p>
    <w:p>
      <w:pPr>
        <w:pStyle w:val="Heading2"/>
      </w:pPr>
      <w:r>
        <w:t>Regeste</w:t>
      </w:r>
    </w:p>
    <w:p>
      <w:r>
        <w:t>Regeste Gratifikation, Art. 322d Abs. 2 OR. Eine "Gratifikation", die alle Merkmale eines Lohnbestandteils aufweist, unterliegt nicht Art. 322d Abs. 2 OR. Endigt der Arbeitsvertrag vor ihrer Fälligkeit, so ist sie entsprechend der Dauer des Vertragsverhältnisses geschuldet.</w:t>
      </w:r>
    </w:p>
    <w:p>
      <w:r>
        <w:t>Regeste Gratification, art. 322d al. 2 CO. Une "gratification" qui présente toutes les caractéristiques d'un élément du salaire n'est pas soumise à l'art. 322d al. 2 CO. En cas d'extinction des rapports de travail avant son échéance, elle doit être payée en fonction de la durée de ces rapports.</w:t>
      </w:r>
    </w:p>
    <w:p>
      <w:r>
        <w:t>Regesto Gratificazione, art. 322d cpv. 2 CO. Una "gratificazine" che presenta tutte le caratteristiche di un elemento del salario non soggiace all'art. 322d cpv. 2 CO. In caso di estinzione del rapporto di lavoro prima della sua scadenza, essa va corrisposta in funzione della durata di tale rapporto.</w:t>
      </w:r>
    </w:p>
    <w:p>
      <w:pPr>
        <w:pStyle w:val="Heading2"/>
      </w:pPr>
      <w:r>
        <w:t>Erwägungen</w:t>
      </w:r>
    </w:p>
    <w:p>
      <w:r>
        <w:rPr>
          <w:b/>
        </w:rPr>
        <w:t>E. 5</w:t>
      </w:r>
    </w:p>
    <w:p>
      <w:r>
        <w:t>c) Pour le mois de janvier 1976, l'employeur n'a pas versé au travailleur la part de gratification proportionnelle, qui s'élève à 1'833 fr. 30 (22'000 francs: 12). Selon l'art. 322d al. 2 CO, "en cas d'extinction des rapports de travail avant l'occasion qui donne lieu à la rétribution spéciale, le travailleur n'a droit à une part proportionnelle de cette rétribution que s'il en a été convenu ainsi". Les parties étant convenues d'un salaire annuel de 130'000 francs dont la "gratification" annuelle de 22'000 francs était une partie, on doit examiner s'il s'agit d'une gratification au sens de l'art. 322d CO, soit d'une rétribution spéciale accordée dans certaines circonstances, ou d'un salaire à l'exigibilité différée non soumis à cette disposition, le cas échéant s'il s'agit d'une gratification dont les parties ont admis implicitement qu'elle devait aussi être payée BGE 109 II 447 S. 448 proportionnellement en cas de départ avant l'échéance. Le propre de la gratification est que la rétribution dépend dans une certaine mesure en tout cas de l'employeur, si ce n'est dans son principe, à tout le moins dans son montant. N'est dès lors plus une gratification, au sens de l'art. 322d CO, la rétribution dont le montant et l'échéance inconditionnelle sont fixés d'avance par le contrat de travail, telle que le 13e mois de salaire ou une autre rétribution semblable entièrement déterminée par contrat; la règle de l'art. 322d al. 2 CO n'est pas applicable au paiement de cette rétribution de l'employeur, en cas de fin du contrat avant l'échéance de celle-ci (VISCHER, Schweizerisches Privatrecht, VII 1, p. 373 s.; BRÜHWILER, Handkommentar zum Einzelarbeitsvertrag, p. 68; STREIFF, Leitfaden zum neuen Arbeitsvertragsrecht, 3e éd., n. 6 ad art. 322d, p. 50; BJM 1973 p. 278, 1974 p. 249; contra, apparemment: REHBINDER, Schweizerisches Arbeitsrecht, 7e éd., p. 57; SCHWEINGRUBER, Commentaire du contrat de travail, trad. Laissue 1975, p. 72). Cette solution s'impose aussi bien au regard du texte de l'art. 322d al. 1 CO qui vise une rétribution que "l'employeur accorde" qu'au regard du but des règles sur le paiement du salaire d'une part, de la gratification d'autre part; en effet, lorsque, pour des raisons de convenance, les parties préfèrent différer le paiement d'une partie du salaire, il n'y a aucune raison de prévoir pour cette partie de salaire des règles plus défavorables au travailleur, relatives à la naissance et à l'exigibilité de la créance qui en résulte, que pour le salaire courant; s'agissant au contraire d'une rétribution dont le travailleur est gratifié par l'employeur, il est compréhensible que le législateur n'ait pas entendu étendre la responsabilité de l'employeur contre le gré de celui-ci, en cas de départ du travailleur avant l'échéance de la gratification. En l'espèce, la "gratification" présente toutes les caractéristiques d'un élément du salaire et elle doit être traitée comme telle. Contre-prestation du travail fourni, elle doit être payée en fonction de la durée des rapports de travail; la résiliation rend cette créance exigible (art. 339 al. 1 CO). La somme de 1'833 fr. 30 est donc due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