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445</w:t>
      </w:r>
    </w:p>
    <w:p>
      <w:r>
        <w:t>Bundesgericht (BGE), 1983-01-01, IT</w:t>
      </w:r>
    </w:p>
    <w:p>
      <w:r>
        <w:rPr>
          <w:b/>
        </w:rPr>
        <w:t xml:space="preserve">Quelle: </w:t>
      </w:r>
      <w:r>
        <w:t>https://mcp.opencaselaw.ch/entscheid/bge_BGE_109_II_445</w:t>
      </w:r>
    </w:p>
    <w:p>
      <w:r>
        <w:t>FR: ATF 109 II 445</w:t>
      </w:r>
    </w:p>
    <w:p>
      <w:r>
        <w:t>IT: DTF 109 II 445</w:t>
      </w:r>
    </w:p>
    <w:p>
      <w:pPr>
        <w:pStyle w:val="Heading2"/>
      </w:pPr>
      <w:r>
        <w:t>Regeste</w:t>
      </w:r>
    </w:p>
    <w:p>
      <w:r>
        <w:t>Regeste Art. 164 Abs. 1 OR: Abtretung des Werklohns. Die Natur des Rechtsverhältnisses steht in der Regel einer Abtretung der auf eine bestimmte Summe begrenzten Forderung des Unternehmers gegen den Besteller nicht entgegen.</w:t>
      </w:r>
    </w:p>
    <w:p>
      <w:r>
        <w:t>Regeste Art. 164 al. 1 CO: cession de la créance en paiement du prix de l'ouvrage. La nature de l'affaire ne s'oppose pas, en règle générale, à la cession de la créance que possède l'entrepreneur contre le maître de l'ouvrage, à concurrence d'un montant déterminé.</w:t>
      </w:r>
    </w:p>
    <w:p>
      <w:r>
        <w:t>Regesto Art. 164 cpv. 1 CO: cessione della mercede d'appalto. La natura del rapporto giuridico non osta, di regola, alla cessione del credito dell'appaltatore contro il committente, limitato a una somma precisa.</w:t>
      </w:r>
    </w:p>
    <w:p>
      <w:pPr>
        <w:pStyle w:val="Heading2"/>
      </w:pPr>
      <w:r>
        <w:t>Erwägungen</w:t>
      </w:r>
    </w:p>
    <w:p>
      <w:r>
        <w:rPr>
          <w:b/>
        </w:rPr>
        <w:t>E. 2</w:t>
      </w:r>
    </w:p>
    <w:p>
      <w:r>
        <w:t>Il creditore può cedere ad altri il suo credito anche senza il consenso del debitore, se non vi osta la legge, la convenzione o la natura del rapporto giuridico ( art. 164 cpv. 1 CO ). Detta natura impedisce la cessione quando il credito è intensamente legato alla persona del creditore, la cui sostituzione implicherebbe un cambiamento del carattere, del contenuto o dello scopo dell'obbligazione ( DTF 63 II 158 e rif.; OSER/SCHÖNENBERGER, art. 164 n. 26; BECKER, art. 164 n. 21; GAUCH/SCHLUEP/TERCIER, Partie générale du droit des obligations, II, n. 2172; VON TUHR/ESCHER, Allg. Teil des schweizerischen OR, II, pag. 344; BUCHER, Schweizerisches OR, Allg. Teil, pag. 489); in particolare la cessione è esclusa quando il cambiamento del creditore comporta un aggravio della posizione del debitore (GAUCH/SCHLUEP/TERCIER e OSER/SCHÖNBERGER, loc.cit.). Di regola è cedibile anche l'insieme delle pretese derivanti da un contratto bilaterale: tuttavia, quando il negozio crea relazioni durevoli, la cessione deve essere limitata a singoli diritti, al fine di evitare appunto pregiudizi al debitore (OSER/SCHÖNENBERGER art. 164 n. 27; BECKER, art. 164 n. 22; VON TUHR/ESCHER, op.cit. pag. 346). Il credito dell'imprenditore generale costituito dalla mercede dell'opera, come quello del semplice imprenditore, non è di per sé legato alla persona del creditore: la cessione, salvo casi eccezionali, non modifica quindi la natura dei rapporti contrattuali delle parti. BGE 109 II 445 S. 446 Il credito pecuniario dell'appaltatore può pertanto essere ceduto come altre pretese pecuniarie derivanti da contratti bilaterali, senza il consenso del committente. Anche il credito della Häfliger &amp; Co. nei confronti dell'attrice poteva essere ceduto, senza il consenso di quest'ultima, la quale non asserisce del resto di avere particolari relazioni personali con il creditore originario. Le riserve espresse dalla dottrina a proposito di contratti di lunga durata, come l'appalto, non hanno influenza nel caso concreto: esse si riferiscono alla cessione dell'insieme delle pretese contrattuali, mentre nella fattispecie l'appaltatore ha ceduto alla banca soltanto il credito riguardante la mercede, limitato a una somma precisa. Infondata è infine l'obiezione della ricorrente, secondo cui essa corre il rischio, in seguito alla cessione, di pagare la medesima mercede, oltre che alla banca, anche agli artigiani insoddisfatti, al fine di evitare l'iscrizione d'ipoteche legali. Questo rischio è infatti insito nell'istituto dell'ipoteca legale degli artigiani e degli imprenditori e non è per nulla aggravato dalla cessione: anche in assenza di un tale negozio il committente che intende evitare l'iscrizione di un'ipoteca legale può essere costretto a tacitare gli artigiani, pur avendo egli già pagato l'opera, ad esempio, all'imprenditore generale ( DTF 95 II 87 , in part. consid. 3, e 104 II 267; SCHUMACHER, Das Bauhandwerkerpfandrecht, n. 489). Per ovviare al rigore della legge il committente può cautelarsi in diversi modi, sui quali non è necessario dilungarsi (cfr. DTF 95 II 90 consid. 4 e SCHUMACHER, op.cit. n. 490 segg.). Basti infine rammentare che il debitore che teme le conseguenze della cessione può chiedere ch'essa sia esclusa per convenzione. Il Tribunale di appello ha pertanto applicato correttamente il diritto federale, segnatamente l' art. 164 cpv. 1 CO , dichiarando valida la cessione convenuta il 22 novembre 1972 tra l'imprenditore generale e la banca, senza riguardo all'eventuale accordo e alle riserve della committente.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