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333</w:t>
      </w:r>
    </w:p>
    <w:p>
      <w:r>
        <w:t>Bundesgericht (BGE), 1983-01-01, DE</w:t>
      </w:r>
    </w:p>
    <w:p>
      <w:r>
        <w:rPr>
          <w:b/>
        </w:rPr>
        <w:t xml:space="preserve">Quelle: </w:t>
      </w:r>
      <w:r>
        <w:t>https://mcp.opencaselaw.ch/entscheid/bge_BGE_109_II_333</w:t>
      </w:r>
    </w:p>
    <w:p>
      <w:r>
        <w:t>FR: ATF 109 II 333</w:t>
      </w:r>
    </w:p>
    <w:p>
      <w:r>
        <w:t>IT: DTF 109 II 333</w:t>
      </w:r>
    </w:p>
    <w:p>
      <w:pPr>
        <w:pStyle w:val="Heading2"/>
      </w:pPr>
      <w:r>
        <w:t>Regeste</w:t>
      </w:r>
    </w:p>
    <w:p>
      <w:r>
        <w:t>Regeste Anfechtung eines Werkvertrages wegen Irrtums. Art. 373 Abs. 2 OR ist eine Sonderregel, welche der allgemeinen Bestimmung des Art. 24 Abs. 1 Ziff. 4 OR vorgeht.</w:t>
      </w:r>
    </w:p>
    <w:p>
      <w:r>
        <w:t>Regeste Invalidation d'un contrat d'entreprise pour cause d'erreur. L'art. 373 al. 2 CO est une règle spéciale qui l'emporte sur la disposition générale de l'art. 24 al. 1 ch. 4 CO.</w:t>
      </w:r>
    </w:p>
    <w:p>
      <w:r>
        <w:t>Regesto Impugnazione di un contratto di appalto per errore. L'art. 373 cpv. 2 CO è una norma speciale che prevale sulla disposizione generale dell'art. 24 cpv. 1 n. 4 CO.</w:t>
      </w:r>
    </w:p>
    <w:p>
      <w:pPr>
        <w:pStyle w:val="Heading2"/>
      </w:pPr>
      <w:r>
        <w:t>Erwägungen</w:t>
      </w:r>
    </w:p>
    <w:p>
      <w:r>
        <w:rPr>
          <w:b/>
        </w:rPr>
        <w:t>E. 2</w:t>
      </w:r>
    </w:p>
    <w:p>
      <w:r>
        <w:t>a) Die Klägerin hält mit der Berufung am Vorliegen von Grundlagenirrtum im Sinn von Art. 24 Abs. 1 Ziff. 4 OR fest. Sie begründet dies damit, dass im Arbeitsbeschrieb von "gerundeten" statt von "gewundenen" Handläufen die Rede gewesen sei, weshalb sie sich nicht eine Wendeltreppe vorgestellt und demgemäss zu tiefe Preise eingegeben habe. Dabei macht sie - wie das Kantonsgericht zutreffend festhält - eine blosse Teilunverbindlichkeit des Werkvertrags geltend, von der die Schlosserarbeiten nicht berührt werden. Mit der Berufung wird nicht dargelegt, welches die Rechtsfolgen der behaupteten teilweisen Unverbindlichkeit des Vertrages wären und warum sich daraus die eingeklagte Forderung ergeben sollte. Während die Klägerin im erstinstanzlichen Verfahren von Schadenersatz sprach, nahm das Bezirksgericht an, die Beklagte habe durch ihr Verhalten gezeigt, dass sie sich verpflichte, für die Mehrkosten aus der nachträglichen Vergebung des Auftrags an die Lignoform Sperrholz AG aufzukommen. Wie abzurechnen wäre, wenn eine Teilunverbindlichkeit infolge Irrtums gegeben wäre, kann jedoch offen bleiben, falls das Werkvertragsrecht seinerseits Vorschriften enthält, welche unter den gegebenen Umständen der allgemeineren Regel von Art. 24 Abs. 1 Ziff. 4 OR vorgehen. b) Gemäss Art. 373 Abs. 2 OR kann der Richter nach seinem Ermessen eine Erhöhung des fest vereinbarten Preises oder die Auflösung des Vertrages bewilligen, falls ausserordentliche Umstände, die nicht vorausgesehen werden konnten oder nach den von beiden Parteien angenommenen Voraussetzungen ausgeschlossen waren, die Fertigstellung hindern oder übermässig erschweren. In den Anwendungsbereich dieser Bestimmung fallen nicht nur nachträglich eintretende, sondern auch bereits bestehende ausserordentliche Umstände, wie etwa die ungünstige Beschaffenheit des Baugrundes ( BGE 104 II 316 ; GAUCH, Der Unternehmer im Werkvertrag, 2. Aufl., Nr. 174). Es verhält sich nicht grundsätzlich anders, wenn der Unternehmer bei seiner Preisfestsetzung in anderer Hinsicht von Voraussetzungen ausgegangen ist, die sich nachträglich als falsch erweisen. Angesichts der Sonderbestimmung des Werkvertragsrechts braucht deshalb vorliegend nicht auf Art. 24 Abs. 1 Ziff. 4 OR zurückgegriffen zu werden. Dem entspricht auch die Ordnung im Fall von unverhältnismässiger Preisüberschreitung bei ungefährer Preisabrede, wo der Besteller BGE 109 II 333 S. 336 vom Vertrag zurücktreten kann ( Art. 375 OR ); Rechtsprechung und Literatur sehen darin ebenfalls eine spezielle Ausgestaltung der Irrtumsanfechtung im Werkvertragsrecht ( BGE 98 II 303 E. c; VON TUHR/PETER, S. 315).</w:t>
      </w:r>
    </w:p>
    <w:p>
      <w:r>
        <w:rPr>
          <w:b/>
        </w:rPr>
        <w:t>E. 3</w:t>
      </w:r>
    </w:p>
    <w:p>
      <w:r>
        <w:t>Ist der Beurteilung in diesem Sinn Art. 373 Abs. 2 OR zugrundezulegen, so wird entscheidend, ob für die Klägerin voraussehbar war, dass nicht eine gewöhnliche, sondern eine Wendeltreppe auszuführen war. Diese Frage ist vom Standpunkt eines sachkundigen und sorgfältigen Unternehmers aus und nach einem eher strengen Massstabe zu beantworten ( BGE 104 II 317 ). Dabei ist auf die tatsächlichen Feststellungen abzustellen, welche die Vorinstanz im Blick auf den Grundlagenirrtum getroffen hat. a) Das Kantonsgericht nimmt gestützt auf bestimmte Zeugenaussagen an, dass sich der Begriff "halbkreisförmig gerundet" im Offertformular ausschliesslich auf das Querprofil der Handläufe beziehe, doch hält es fest, dass die Bezeichnungen "Betonwand halbkreisförmig" bzw. "halbkreisförmig" auf eine Wendeltreppe schliessen liessen. Das sei auch im Plan NM 87 zum Ausdruck gekommen, auf den die Offertunterlagen verwiesen hatten. Die Photos über den Baufortschritt zeigten sodann, dass schon ein Halbjahr vor der Ausschreibung der Schlosserarbeiten die Wendeltreppenkonstruktion am Bau deutlich sichtbar gewesen sei. Nachdem die Schlosserarbeiten Metallgeländer für die Wendeltreppe mitumfassten, hätte der Klägerin bewusst sein müssen, dass nur gewundene Handläufe dazu passten. Aufgrund der Submissionsbedingungen hätte die Klägerin sich über die Situation auf dem Baugelände orientieren und zudem die zur Verfügung stehenden Pläne konsultieren müssen; dann hätte sie den Arbeitsbeschrieb nicht falsch verstehen können, sondern erkennen müssen, dass eine Wendeltreppe vorgesehen war. b) Die Klägerin anerkennt, dass sie sich ein Fehlverhalten ihrer Unterakkordantin J. Ettinger AG anrechnen lassen muss. Dieser Einsicht widersprechen freilich verschiedene Ausführungen der Berufung. Zu beurteilen ist nicht die Beziehung der Klägerin zur Firma Ettinger und damit auch nicht, ob diese von jener ausreichend informiert worden ist. Indem die Klägerin selbst den Auftrag einschliesslich Schreinerarbeiten übernahm, um diese weiterzuvergeben, hatte sie dafür einzustehen, dass den Obliegenheiten der Ausschreibung nachgelebt wurde, sei es durch sie selbst oder die Unterakkordantin. Es hilft ihr daher weder, dass ein Einschluss von Schreinerarbeiten in die Schlosserofferte ungewöhnlich, noch BGE 109 II 333 S. 337 dass die spezifischen Probleme der Holzarbeiten für sie nicht erkennbar gewesen seien. Ebensowenig kann sie sich darauf hinausreden, dass der Arbeitsbeschrieb für ihre Schlosserarbeiten ausreichend gewesen sei und es Sache der Unterakkordantin gewesen wäre, weitere Erklärungen einzuziehen, die Pläne einzusehen oder eine Begehung durchzuführen. c) Das Kantonsgericht stellt unwidersprochen und zutreffend fest, dass nach den Vertragsbestandteil gewordenen Artikeln 7 und 16 der SIA-Norm 118 (Ausgabe 1977) der Unternehmer sich nach den Plänen und der örtlichen Situation Klarheit über den Inhalt des Auftrags zu verschaffen hatte. Die Klägerin meint zu Unrecht, aufgrund der Rangfolge in Art. 7 Abs. 3 SIA-Norm 118 erübrige es sich, neben dem Offertformular auf weitere Unterlagen zurückzugreifen; diese Stufenfolge gilt nur für den Fall von Widersprüchen und macht keinesfalls eine gehörige Information entbehrlich. Die Klägerin bestreitet allerdings, dass aus den im Arbeitsbeschrieb zitierten Plänen die Ausführung als Wendeltreppe ersichtlich gewesen sei. Dagegen räumt sie ein, dass der Zustand des Rohbaus zur Zeit der massgebenden Ausschreibung längst die Konstruktion einer Wendeltreppe erkennen liess. Selbst wenn die übrigen Unterlagen unklar gewesen sein sollten, hätte daher die Besichtigung des Bauwerks jedes Missverständnis ausgeschlossen; eines Begehrens der Bauleitung bedurfte es dafür nicht. Bei gehöriger Sorgfalt hätte somit die Klägerin ohne weiteres erkennen können, dass die von ihr offerierten Geländer mit Handläufen zum Teil eine Wendeltreppe betrafen. Art. 373 Abs. 2 OR erlaubt ihr daher die verlangte nachträgliche Preiserhöhung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