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56</w:t>
      </w:r>
    </w:p>
    <w:p>
      <w:r>
        <w:t>Bundesgericht (BGE), 1983-01-01, FR</w:t>
      </w:r>
    </w:p>
    <w:p>
      <w:r>
        <w:rPr>
          <w:b/>
        </w:rPr>
        <w:t xml:space="preserve">Quelle: </w:t>
      </w:r>
      <w:r>
        <w:t>https://mcp.opencaselaw.ch/entscheid/bge_BGE_109_III_56</w:t>
      </w:r>
    </w:p>
    <w:p>
      <w:r>
        <w:t>FR: ATF 109 III 56</w:t>
      </w:r>
    </w:p>
    <w:p>
      <w:r>
        <w:t>IT: DTF 109 III 56</w:t>
      </w:r>
    </w:p>
    <w:p>
      <w:pPr>
        <w:pStyle w:val="Heading2"/>
      </w:pPr>
      <w:r>
        <w:t>Regeste</w:t>
      </w:r>
    </w:p>
    <w:p>
      <w:r>
        <w:t>Regeste Art. 106 ff. SchKG. Unbekannter Drittansprecher. Verspätete Drittansprache. Wer nicht mit Namen bekannt ist, kann keinen Drittanspruch geltend machen. Die Frage, ob seine Drittansprache verspätet sei, stellt sich daher nur für den Fall, dass seine Identität bekannt würde.</w:t>
      </w:r>
    </w:p>
    <w:p>
      <w:r>
        <w:t>Regeste Art. 106 ss LP. Tiers revendiquant inconnu. Tardiveté de la revendication. Un tiers ne peut valablement revendiquer tant qu'il ne se fait pas nommément connaître; aussi la question de la tardiveté de sa revendication ne se pose-t-elle que pour le cas où son identité viendrait à être révélée.</w:t>
      </w:r>
    </w:p>
    <w:p>
      <w:r>
        <w:t>Regesto Art. 106 segg. LEF. Terzo rivendicante sconosciuto. Rivendicazione tardiva. Il diritto di rivendicazione non può essere fatto valere da chi non rende nota la propria identità. La questione del ritardo della rivendicazione si pone soltanto qualora quest'identità sia conosciuta.</w:t>
      </w:r>
    </w:p>
    <w:p>
      <w:pPr>
        <w:pStyle w:val="Heading2"/>
      </w:pPr>
      <w:r>
        <w:t>Erwägungen</w:t>
      </w:r>
    </w:p>
    <w:p>
      <w:r>
        <w:rPr>
          <w:b/>
        </w:rPr>
        <w:t>E. 4</w:t>
      </w:r>
    </w:p>
    <w:p>
      <w:r>
        <w:t>a) Tout comme dans sa plainte, le recourant fait valoir à l'appui de son recours que la revendication des tiers était tardive, de sorte qu'aucune suite n'aurait dû lui être donnée pour ce motif. BGE 109 III 56 S. 58 On doit relever tout d'abord à ce sujet que la question de la tardiveté de la revendication ne se pose qu'au moment où une revendication recevable est formulée. Or, ainsi qu'on l'a vu et comme l'autorité cantonale elle-même l'a constaté, les tiers qui ont revendiqué n'ont pas révélé leur identité, si bien que leur revendication n'est pas valable. En effet, le créancier poursuivant n'est pas en état de se déterminer sur les droits allégués par des personnes inconnues; il est au surplus impossible d'impartir éventuellement le délai de l'art. 107 LP à des personnes inconnues et anonymes. La question de la tardiveté de la revendication ne se posait donc pour l'autorité cantonale qu'à titre éventuel, soit uniquement si la prétendue revendication formulée le 15 mars 1983 venait à être complétée par la désignation précise des revendiquants.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