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53</w:t>
      </w:r>
    </w:p>
    <w:p>
      <w:r>
        <w:t>Bundesgericht (BGE), 1983-01-01, FR</w:t>
      </w:r>
    </w:p>
    <w:p>
      <w:r>
        <w:rPr>
          <w:b/>
        </w:rPr>
        <w:t xml:space="preserve">Quelle: </w:t>
      </w:r>
      <w:r>
        <w:t>https://mcp.opencaselaw.ch/entscheid/bge_BGE_109_III_53</w:t>
      </w:r>
    </w:p>
    <w:p>
      <w:r>
        <w:t>FR: ATF 109 III 53</w:t>
      </w:r>
    </w:p>
    <w:p>
      <w:r>
        <w:t>IT: DTF 109 III 53</w:t>
      </w:r>
    </w:p>
    <w:p>
      <w:pPr>
        <w:pStyle w:val="Heading2"/>
      </w:pPr>
      <w:r>
        <w:t>Regeste</w:t>
      </w:r>
    </w:p>
    <w:p>
      <w:r>
        <w:t>Regeste Nichtige Pfändung. Eine Lohnpfändung, die für eine Forderung angeordnet wurde, welche noch nicht in Betreibung gesetzt ist und daher auf keinem vollstreckbaren Zahlungsbefehl beruht, verstösst gegen die elementaren Grundsätze der Schuldbetreibung und ist deshalb nichtig.</w:t>
      </w:r>
    </w:p>
    <w:p>
      <w:r>
        <w:t>Regeste Saisie absolument nulle. Une saisie de salaire ordonnée pour une créance non encore déduite en poursuite et, partant, ne se fondant pas sur un commandement de payer exécutoire, est absolument nulle dès lors qu'elle heurte les principes fondamentaux de la poursuite pour dettes.</w:t>
      </w:r>
    </w:p>
    <w:p>
      <w:r>
        <w:t>Regesto Pignoramento nullo. Il pignoramento di salario a favore di un credito non ancora posto in esecuzione e di conseguenza non sorretto da un precetto esecutivo è assolutamente nullo, poiché urta i principi fondamentali del diritto esecutivo.</w:t>
      </w:r>
    </w:p>
    <w:p>
      <w:pPr>
        <w:pStyle w:val="Heading2"/>
      </w:pPr>
      <w:r>
        <w:t>Erwägungen</w:t>
      </w:r>
    </w:p>
    <w:p>
      <w:r>
        <w:rPr>
          <w:b/>
        </w:rPr>
        <w:t>E. 2</w:t>
      </w:r>
    </w:p>
    <w:p>
      <w:r>
        <w:t>a) L'acte de l'Office du 13 octobre 1982, que critique la recourante, se présente comme une saisie de salaire à concurrence de 1'910 francs par mois. Il comporte en outre une "répartition" qui, si on la considère comme liée à un état de collocation au sens de l' art. 146 LP , aurait éventuellement pu faire l'objet d'une action en contestation au sens de l' art. 148 LP . Mais, en réalité, il résulte des explications de l'Office au cours de l'instruction que la somme de 1'000 francs prélevée sur le montant saisi n'est pas destinée à couvrir la créance de l'Etat de Genève qui fait l'objet de la poursuite no 2'626'778; elle concerne uniquement la pension courante qui, elle, ne fait l'objet d'aucune poursuite. Dans ces conditions, la question de la contestation d'un éventuel état de collocation provisoire ne se pose pas, l'Etat de Genève n'occupant pas, dans la répartition pratiquée par l'Office, un rang préférable à celui de la recourante. b) En prétendant répartir, sur le montant de la saisie mensuelle, une somme de 1'000 francs destinée à couvrir la pension courante, l'Office fait participer à la saisie et à la distribution des deniers, une créance des enfants L., sans doute établie par l'ordonnance de BGE 109 III 53 S. 56 mesures provisoires rendue entre leurs père et mère, mais qui n'est pas encore déduite en poursuite. Une saisie et une distribution de deniers qui ne se fondent pas sur un commandement de payer exécutoire heurtent les principes fondamentaux de la poursuite pour dettes. Elles ne sauraient, partant, être maintenues, même en l'absence de recevabilité du recours. c) La saisie de salaire à concurrence de 1'910 francs par mois pratiquée le 13 octobre 1982 n'est en revanche pas critiquable. Il est établi, au sujet de la pension alimentaire courante, que L. ne la paie pas. Dans de telles circonstances, le montant de la dette alimentaire du poursuivi n'entre pas dans le calcul du minimum vital ( ATF 84 III 31 ). Il ne pourra y être inclus, le cas échéant par revision de la saisie de salaire ordonnée, que si le débiteur d'aliments verse effectivement la pension due, ou si la dette courante fait l'objet d'une poursuite régulière. C'est donc à bon droit que l'Office n'a pas tenu compte de cet élément pour déterminer le minimum vital du débiteur. d) Ainsi qu'il ressort des art. 146 al. 2 et 219, première classe lettre b LP, les sommes saisies mensuellement devront en premier lieu servir à désintéresser le créancier d'aliments poursuivant, en l'espèce l'Etat de Genève dans la poursuite no 2'626'778, puisque sa créance porte sur un solde d'aliments échus, dans l'année précédant l'introduction de la poursuite. L'Etat de Genève affirme à ce propos que la créance est actuellement éteinte. Dans ces conditions, le produit de la saisie pourra dorénavant être affecté à désintéresser les deux autres créanciers de la série, dans la mesure du moins où le poursuivi L. persistera à ne pas payer la pension courante ou ne fera pas l'objet d'une nouvelle poursuite des créanciers d'aliments.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