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109 IA 15 vom 1. Januar 1983</w:t>
      </w:r>
    </w:p>
    <w:p>
      <w:r>
        <w:t>Bundesgericht (BGE), 1983-01-01, FR</w:t>
      </w:r>
    </w:p>
    <w:p>
      <w:r>
        <w:rPr>
          <w:b/>
        </w:rPr>
        <w:t xml:space="preserve">Quelle: </w:t>
      </w:r>
      <w:r>
        <w:t>https://mcp.opencaselaw.ch/entscheid/bge_BGE_109_IA_15</w:t>
      </w:r>
    </w:p>
    <w:p>
      <w:r>
        <w:t>FR: BGE BGE 109 IA 15 du 1 janvier 1983</w:t>
      </w:r>
    </w:p>
    <w:p>
      <w:r>
        <w:t>IT: BGE BGE 109 IA 15 del 1 gennaio 1983</w:t>
      </w:r>
    </w:p>
    <w:p>
      <w:pPr>
        <w:pStyle w:val="Heading2"/>
      </w:pPr>
      <w:r>
        <w:t>Regeste</w:t>
      </w:r>
    </w:p>
    <w:p>
      <w:r>
        <w:t>Regeste Adoption; Mitteilung von Entscheidungen. Die Verwaltungsbehörde, die einem Elternteil mit eingeschriebenem Brief und nicht in der qualifizierten Art, wie sie nach kantonalem Verfahrensrecht für Zivilurteile vorgeschrieben ist, mitteilt, dass sie gemäss Art. 265c Ziff. 2 ZGB von seiner Zustimmung absieht, verstösst weder gegen den Anspruch auf rechtliches Gehör noch gegen das Willkürverbot.</w:t>
      </w:r>
    </w:p>
    <w:p>
      <w:r>
        <w:t>Regeste Adoption; communication de décisions. Ne commet pas une violation du droit d'être entendu, ni ne tombe dans l'arbitraire l'autorité administrative qui communique à un parent la décision de faire abstraction de son consentement sur la base de l'art. 265c ch. 2 CC et la décision d'adoption, non pas selon le mode de transmission qualifié prévu par la procédure cantonale pour la notification des jugements civils, mais sous pli recommandé.</w:t>
      </w:r>
    </w:p>
    <w:p>
      <w:r>
        <w:t>Regesto Adozione; comunicazione di decisioni. Non commette una violazione del diritto di essere sentito né incorre in arbitrio l'autorità amministrativa che comunica a un genitore la decisione di prescindere dal suo consenso in base all'art. 265c n. 2 CC e la decisione di adozione, non secondo il modo di trasmissione qualificato previsto dalla procedura cantonale per la notifica delle sentenze civili, bensì mediante lettera raccomandata.</w:t>
      </w:r>
    </w:p>
    <w:p>
      <w:pPr>
        <w:pStyle w:val="Heading2"/>
      </w:pPr>
      <w:r>
        <w:t>Erwägungen</w:t>
      </w:r>
    </w:p>
    <w:p>
      <w:r>
        <w:rPr>
          <w:b/>
        </w:rPr>
        <w:t>E. 2</w:t>
      </w:r>
    </w:p>
    <w:p>
      <w:r>
        <w:t>C'est à tort que la recourante soutient que l'adoption est une action d'état comparable à un jugement modifiant l'état de personnes au terme d'une procédure contentieuse. Certes, le prononcé d'adoption du nouveau droit n'est plus un contrat par acte authentique soumis à la permission de l'autorité compétente ( art. 267a CC ), mais un acte de souveraineté de l'Etat. Toutefois, il n'est rendu que sur requête et avec l'accord des intéressés (HEGNAUER, Die Adoption, Berner Kommentar II 2.1, n. 3 ad art. 268 CC ). Il s'agit d'un acte de la juridiction gracieuse (ibid. n. 12 ad art. 268 CC ). C'est le droit fédéral lui-même qui dispose que la compétence pour la prononcer appartient à "l'autorité cantonale compétente du domicile des parents adoptifs" ( art. 268 al. 1 CC ), permettant ainsi aux cantons de désigner comme compétente, à leur choix, une autorité de l'ordre administratif ou judiciaire (art. 53 Tit.fin.). Les critiques élevées par la recourante contre cette attribution de compétence sont irrecevables ( art. 113 al. 3 Cst. ). Le prononcé d'adoption étant ainsi, de par sa nature, différent d'un jugement rendu au terme d'une procédure contentieuse, il ne saurait s'imposer d'appliquer les mêmes règles sur la notification dans l'un et l'autre cas. Le principe de l'égalité devant la loi veut en effet que les choses semblables soient soumises à un régime identique et les choses différentes à un traitement différentiel ( ATF 88 I 159 ; ATF 86 I 279 consid. 3).</w:t>
      </w:r>
    </w:p>
    <w:p>
      <w:r>
        <w:rPr>
          <w:b/>
        </w:rPr>
        <w:t>E. 3</w:t>
      </w:r>
    </w:p>
    <w:p>
      <w:r>
        <w:t>La recourante fait vainement état de ce que le droit administratif vaudois ne détermine pas les formes de la communication de la décision de première instance. Le droit fédéral n'impose pas la communication du prononcé d'adoption aux parents de sang qui ne sont pas les représentants légaux de l'adopté (HEGNAUER, op.cit., n. 55 et 56 ad art. 268 CC ). Seule doit leur être communiquée la décision faisant abstraction de leur consentement, décision qui doit être l'objet d'un prononcé séparé, même lorsqu'elle est prise, en application de l' art. 265d BGE 109 Ia 15 S. 18 al. 2 CC , par l'autorité compétente pour prononcer l'adoption (HEGNAUER, op.cit., n. 22 ad art. 265d et n. 57 ad art. 268 CC ). Les parents de sang n'ont, en vertu du droit fédéral, un droit de recours que contre la décision faisant abstraction de leur consentement parce qu'ils ne se sont pas souciés sérieusement de l'enfant, et non contre le prononcé d'adoption lui-même (art. 44 lettre c OJ; HEGNAUER, n. 67 ad art. 268 CC ). Or la forme de la communication de la décision prise en vertu de l' art. 265c ch. 2 CC est fixée par le droit fédéral lui-même à l' art. 265d al. 3 CC , qui prescrit une communication par écrit. La recourante ne fait pas valoir que le droit cantonal exige une communication plus solennelle et des formes plus strictes que celles fixées par le droit fédéral. Une violation du droit cantonal est exclue dans de telles circonstances, et à plus forte raison une violation arbitraire de ce droit.</w:t>
      </w:r>
    </w:p>
    <w:p>
      <w:r>
        <w:rPr>
          <w:b/>
        </w:rPr>
        <w:t>E. 4</w:t>
      </w:r>
    </w:p>
    <w:p>
      <w:r>
        <w:t>C'est à tort que la recourante affirme que la notification n'est parfaite qu'au moment où le justiciable prend connaissance de la décision qui en est l'objet. Tout au contraire, un acte est reçu dès le moment où le destinataire peut en prendre connaissance. Il suffit que l'acte se trouve dans la sphère d'influence du destinataire, que ce dernier, en organisant normalement ses affaires, soit à même d'en prendre connaissance. Il n'est pas nécessaire qu'il l'ait personnellement en main, encore moins qu'il en prenne effectivement connaissance (cf. JEANPRÊTRE, L'expédition et la réception des actes de procédure et des actes juridiques, RSJ 69/1973 p. 349/50 et les références n. 13-14). Fondé sur ces principes, le Tribunal fédéral a constamment admis qu'une notification d'une décision de l'autorité sous pli recommandé est une notification suffisante, et que l'envoi est réputé notifié le dernier jour du délai de garde lorsque le destinataire ne le retire pas, du moins pour autant que les lois cantonales de procédure ne contiennent pas des dispositions contraires concernant tant les notifications faites selon le droit fédéral que celles faites selon le droit cantonal ( ATF 104 Ia 466 et les références). En l'espèce, la recourante n'invoque aucune disposition de droit cantonal concernant la communication des décisions administratives qui exige une autre forme que l'envoi sous pli recommandé, et une telle disposition n'existe effectivement pas. L'autorité cantonale ne saurait dès lors être tombée dans l'arbitraire en admettant que la notification sous pli recommandé était suffisante BGE 109 Ia 15 S. 19 et que la communication des décisions attaquées était ainsi faite à l'expiration du délai de garde. Il est vrai que dans l' ATF 98 Ia 138 /139 consid. 4 in fine, le Tribunal fédéral a laissé la question ouverte de savoir si une communication fictive peut être admise comme suffisante lorsque le destinataire ne peut pas aller retirer le pli recommandé à la poste durant le délai de garde. JEANPRÊTRE (loc.cit. p. 352 lettre c 2o) est d'avis que la question doit être résolue affirmativement, les circonstances qui ont empêché le destinataire de retirer le pli recommandé dans le délai de garde pouvant être prises en considération lors de l'examen d'une requête en restitution du délai. Quoi qu'il en soit, en l'espèce, la recourante ne prétend nullement qu'elle a été empêchée de retirer dans le délai le pli recommandé contenant la décision faisant abstraction de son consentement à l'adoption. En ce qui concerne le pli contenant le prononcé d'adoption, elle se borne à alléguer qu'elle "croit se souvenir" avoir été absente à l'époque. Elle ne rend donc pas vraisemblable que, pour l'une ou l'autre des notifications, elle ait été empêchée par des circonstances extérieures de retirer le pli recommandé dans le délai de garde. On ne saurait dès lors tenir pour démontré qu'en admettant que les décisions litigieuses ont été notifiées à la recourante à l'expiration du délai de garde l'autorité cantonale est tombée dans l'arbitraire, savoir qu'elle aurait pris une décision insoutenable, adoptée sans motifs objectifs et en violation d'un droit certain, heurtant gravement une norme ou un principe juridique clair et indiscuté (cf. ATF 107 Ia 114 ; ATF 106 Ia 11 consid. 5a; ATF 105 Ia 176 b; ATF 105 II 37 consid. 2, et les références).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