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232</w:t>
      </w:r>
    </w:p>
    <w:p>
      <w:r>
        <w:t>Bundesgericht (BGE), 1982-01-01, DE</w:t>
      </w:r>
    </w:p>
    <w:p>
      <w:r>
        <w:rPr>
          <w:b/>
        </w:rPr>
        <w:t xml:space="preserve">Quelle: </w:t>
      </w:r>
      <w:r>
        <w:t>https://mcp.opencaselaw.ch/entscheid/bge_BGE_108_V_232</w:t>
      </w:r>
    </w:p>
    <w:p>
      <w:r>
        <w:t>FR: ATF 108 V 232</w:t>
      </w:r>
    </w:p>
    <w:p>
      <w:r>
        <w:t>IT: DTF 108 V 232</w:t>
      </w:r>
    </w:p>
    <w:p>
      <w:pPr>
        <w:pStyle w:val="Heading2"/>
      </w:pPr>
      <w:r>
        <w:t>Regeste</w:t>
      </w:r>
    </w:p>
    <w:p>
      <w:r>
        <w:t>Regeste Art. 91 Abs. 1 IVV. Das zivilrechtliche Formerfordernis, wonach die Unterschrift am Ende der Urkunde stehen soll, ist für Rentenverfügungen der Invalidenversicherung nicht Gültigkeitsvoraussetzung. Der anlässlich einer revisionsweisen Rentenaufhebung erfolgte Entzug der aufschiebenden Wirkung einer allfälligen Beschwerde ist rechtsgültig, auch wenn er sich auf der Rückseite des - auf der Vorderseite unterzeichneten - Verfügungsschreibens befindet.</w:t>
      </w:r>
    </w:p>
    <w:p>
      <w:r>
        <w:t>Regeste Art. 91 al. 1 RAI. L'exigence de forme du droit civil, selon laquelle la signature doit être apposée à la fin d'un titre, n'est pas une condition de validité des décisions de rente de l'assurance-invalidité. En cas de révision entraînant la suppression d'une rente, le retrait de l'effet suspensif à un recours éventuel est aussi valable lorsqu'une telle indication figure au verso d'une décision dûment signée au recto.</w:t>
      </w:r>
    </w:p>
    <w:p>
      <w:r>
        <w:t>Regesto Art. 91 cpv. 1 OAI. L'esigenza formale di diritto civile, secondo la quale la firma deve costituire la chiusa di un documento, non è requisito di validità per decisioni concernenti rendite dell'assicurazione per l'invalidità. Il ritiro dell'effetto sospensivo di un eventuale ricorso, nel caso di revisione comportante soppressione della rendita, è valido anche se figura a tergo di una decisione debitamente sottoscritta.</w:t>
      </w:r>
    </w:p>
    <w:p>
      <w:pPr>
        <w:pStyle w:val="Heading2"/>
      </w:pPr>
      <w:r>
        <w:t>Erwägungen</w:t>
      </w:r>
    </w:p>
    <w:p>
      <w:r>
        <w:rPr>
          <w:b/>
        </w:rPr>
        <w:t>E. 2</w:t>
      </w:r>
    </w:p>
    <w:p>
      <w:r>
        <w:t>a) Die Vorinstanz ging bei ihrer Annahme, die Aberkennung des Suspensiveffektes sei nichtig, im wesentlichen davon aus, der Entzug der aufschiebenden Wirkung befinde sich auf der Rückseite der Verfügung, wo sich auch im Vordruck die Rechtsmittelbelehrung befinde; lediglich ganz zuunterst auf der Vorderseite stehe der ebenfalls formularmässige Vermerk "siehe Rückseite"; der Entzug der aufschiebenden Wirkung sei somit durch die auf der Vorderseite befindliche Unterschrift der Ausgleichskasse nicht gedeckt. Nach herrschender Lehre und Praxis zum Allgemeinen Teil des schweizerischen Obligationenrechts habe die Unterschrift aber den Abschluss der Urkunde zu bilden und an deren Ende zu stehen; fehle es hieran, sei Nichtigkeit die Folge. Diese Grundsätze hätten auch im öffentlichen Recht Gültigkeit. b) Das Eidg. Versicherungsgericht hat in BGE 105 V 248 in bezug auf Beitragsverfügungen der Ausgleichskassen die Unterschrift nicht als Gültigkeitserfordernis betrachtet und in diesem Zusammenhang u.a. festgehalten, dass eine analoge Anwendung der zivilrechtlichen Bestimmungen über die Schriftform hier nicht angängig sei, da diese Bestimmungen von ganz anderen Voraussetzungen ausgehen ( BGE 105 V 253 ). Ähnliche Überlegungen verbieten es, das zivilrechtliche Erfordernis, wonach die Unterschrift den Abschluss der Urkunde bilden soll, bei Rentenverfügungen der Invalidenversicherung als Gültigkeitsvoraussetzung zu betrachten. Gilt es nämlich bei Privatrechtsgeschäften Unklarheiten darüber zu vermeiden, ob und in welchem Umfang schriftlich festgehaltene Willenserklärungen dem Aussteller der Urkunde zuzurechnen sind - weshalb die im Text enthaltene Erklärung schon der äusseren Erscheinung nach durch die Unterschrift gedeckt sein soll -, entfällt bei Rentenverfügungen in aller Regel diese Schwierigkeit; denn die von Art. 91 Abs. 1 IVV verlangte Form der Schriftlichkeit BGE 108 V 232 S. 234 bietet genügend Gewähr dafür, dass die verfügten Anordnungen einer bestimmten Amtsstelle zugerechnet werden können. Näherer Prüfung bedarf bei Verfügungen dagegen die Frage, welche der in einem Verwaltungsschreiben enthaltenen Erklärungen Teil des Verfügungsdispositivs sind (und damit den Charakter einer verbindlichen Anordnung aufweisen) und welchen Sinn die verfügten Anordnungen haben. Diese Fragen sind durch Auslegung zu beantworten. Formellen Gesichtspunkten kommt hierbei keine ausschlaggebende Bedeutung zu, namentlich nicht bei der Bestimmung dessen, was das Dispositiv einer Verfügung ausmacht (vgl. ARV 1977 Nr. 13 S. 47 unten). Vielmehr haben nach dem Grundsatz von Treu und Glauben Verfügungen auf dem Gebiete der Sozialversicherung so zu gelten, wie sie nach gemeinverständlichem Wortlaut zu verstehen sind ( BGE 100 V 157 Erw. 3a). Sodann ist vorliegend der kraft Art. 1 Abs. 2 lit. a VwVG in Verbindung mit Art. 62 Abs. 2 AHVG und Art. 113 Abs. 1 AHVV im Verfahren vor der Schweizerischen Ausgleichskasse anwendbare Art. 38 VwVG (vgl. BGE 104 V 154 ) zu beachten, wonach aus einer mangelhaften Eröffnung den Parteien kein Nachteil erwachsen darf. Ob dies zutrifft, beurteilt sich wiederum nach dem Grundsatz von Treu und Glauben, an welchem die Berufung auf Formmängel in jedem Fall ihre Grenze findet ( BGE 98 V 278 Erw. 1 in fine mit Hinweisen, ZAK 1977 S. 156 Erw. 2c mit Hinweis). c) Im vorliegenden Fall hat die Schweizerische Ausgleichskasse den Entzug der aufschiebenden Wirkung auf der Rückseite der Verfügung aufgeführt, währenddem sich die Unterschrift und die als Dispositiv hervorgehobene Textstelle ("Es wird deshalb verfügt: Die ganze IV-Rente wird auf den 31.12.1981 eingestellt.") auf der Vorderseite befinden. Gleichwohl konnten über die Tragweite des rückseitig angebrachten Vermerks vernünftigerweise keine Zweifel aufkommen. Wie die rechtzeitig erhobene Beschwerde beweist, hat der Beschwerdegegner denn auch verstanden, dass die Ausgleichskasse den Entzug des Suspensiveffektes verbindlich verfügte. Im übrigen ist ihm durch die Art, wie die Verwaltung die verfügte Aberkennung der aufschiebenden Wirkung eröffnete, kein Nachteil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