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220</w:t>
      </w:r>
    </w:p>
    <w:p>
      <w:r>
        <w:t>Bundesgericht (BGE), 1982-12-20, FR</w:t>
      </w:r>
    </w:p>
    <w:p>
      <w:r>
        <w:rPr>
          <w:b/>
        </w:rPr>
        <w:t xml:space="preserve">Quelle: </w:t>
      </w:r>
      <w:r>
        <w:t>https://mcp.opencaselaw.ch/entscheid/bge_BGE_108_V_220</w:t>
      </w:r>
    </w:p>
    <w:p>
      <w:r>
        <w:t>FR: ATF 108 V 220</w:t>
      </w:r>
    </w:p>
    <w:p>
      <w:r>
        <w:t>IT: DTF 108 V 220</w:t>
      </w:r>
    </w:p>
    <w:p>
      <w:pPr>
        <w:pStyle w:val="Heading2"/>
      </w:pPr>
      <w:r>
        <w:t>Regeste</w:t>
      </w:r>
    </w:p>
    <w:p>
      <w:r>
        <w:t>Regeste Art. 28 Abs. 1 IVG. Invalidenrente im Härtefall: die geschäftsüblichen Abschreibungen stellen zur Erzielung des Einkommens notwendige Gewinnungskosten im Sinne des Art. 3 Abs. 4 lit. a ELG dar.</w:t>
      </w:r>
    </w:p>
    <w:p>
      <w:r>
        <w:t>Regeste Art. 28 al. 1 LAI. Rente d'invalidité pour cas pénible: les amortissements admis par l'usage commercial constituent des frais nécessaires à l'obtention du revenu au sens de l'art. 3 al. 4 let. a LPC.</w:t>
      </w:r>
    </w:p>
    <w:p>
      <w:r>
        <w:t>Regesto Art. 28 cpv. 1 LAI. Rendita d'invalidità in caso di rigore economico: gli ammortamenti ammessi dall'uso commerciale costituiscono spese necessarie per il conseguimento del reddito secondo l'art. 3 cpv. 4 lett. a LPC.</w:t>
      </w:r>
    </w:p>
    <w:p>
      <w:pPr>
        <w:pStyle w:val="Heading2"/>
      </w:pPr>
      <w:r>
        <w:t>Erwägungen</w:t>
      </w:r>
    </w:p>
    <w:p>
      <w:r>
        <w:rPr>
          <w:b/>
        </w:rPr>
        <w:t>E. 2</w:t>
      </w:r>
    </w:p>
    <w:p>
      <w:r>
        <w:t>En vertu d'une jurisprudence bien établie, il y a cas pénible, au sens de l'art. 28 al. 1 LAI, lorsque l'assuré, qui présente une invalidité d'un tiers au moins, mais inférieure à la moitié, n'atteint pas, bien qu'utilisant au mieux sa capacité de gain résiduelle, les limites de revenu fixées à l'art. 2 LPC. Pour le calcul du revenu, on applique par analogie les règles de la LPC, notamment les art. 3 et 4, étant précisé que la rente pour cas pénible entrant éventuellement en considération n'est pas prise en compte comme élément de revenu (ATFA 1969 p. 168 et p. 233, RCC 1973 p. 355 consid. 4a). Les limites de revenu applicables aux personnes seules et aux couples sont augmentées du montant correspondant à la limite de revenu applicable aux orphelins, s'il y a des enfants donnant droit à une rente complémentaire de l'AVS/AI (art. 2 al. 3 LPC). Sont déterminants, en règle générale, pour le calcul de la prestation complémentaire, le revenu obtenu au cours de l'année civile précédente et l'état de la fortune le 1er janvier de l'année pour laquelle la prestation est servie (art. 23 al. 1 OPC).</w:t>
      </w:r>
    </w:p>
    <w:p>
      <w:r>
        <w:rPr>
          <w:b/>
        </w:rPr>
        <w:t>E. 3</w:t>
      </w:r>
    </w:p>
    <w:p>
      <w:r>
        <w:t>a) En l'occurrence, le litige est limité à une des composantes du revenu déterminant, soit à la part des ressources de l'assuré provenant de l'exercice d'une activité lucrative (art. 3 al. 1 let. a LPC). Plus précisément encore, ce qui est en cause, ce sont les frais nécessaires à l'obtention du revenu, et qui sont déduits en vertu de l'art. 3 al. 4 let. a LPC. b) Les frais d'acquisition du revenu dont fait état l'art. 3 al. 4 let. a LPC sont les dépenses liées directement à la réalisation du revenu brut ou à la conservation de la source de revenu. Il s'agit des dépenses entraînées par l'acquisition du revenu et qui sont inhérentes à l'exercice d'une profession. On ne considère pas comme frais d'acquisition du revenu les dépenses qui n'ont pas de rapport avec l'obtention d'un gain ou qui n'ont, avec celle-ci, qu'un rapport indirect. On n'exige cependant pas la preuve qu'une dépense - pour être considérée comme frais d'obtention du revenu - soit vraiment nécessaire dans le cas particulier; il suffit qu'elle ait un rapport avec la réalisation du revenu (RCC 1980 p. 127 consid. 3a et la doctrine citée). c) Il s'agit en l'espèce d'amortissements opérés sur les appareils à jeux et "juke-boxes" dont le recourant est propriétaire. Les amortissements constituent des charges de l'entreprise qui BGE 108 V 220 S. 222 ont pour effet de diminuer le bénéfice de celle-ci. A cet égard, on ne saurait voir une analogie entre les amortissements de dettes hypothécaires, qui ne modifient en rien la valeur intrinsèque de l'immeuble - et dont le Tribunal fédéral des assurances a admis qu'ils ne pouvaient être imputés sur le revenu (RCC 1968 p. 221 consid. 1) - et les amortissements commerciaux qui, eux, correspondent à une réduction effective de valeur. A ce titre, on doit les considérer comme des frais d'obtention du revenu au sens de la loi. Toute autre solution serait choquante. En effet, on pénaliserait ainsi l'assuré qui est propriétaire de son "outil de travail" par rapport à celui qui, tout en exerçant la même activité, l'a pris en location, car on admettrait que ce dernier puisse, à titre de frais d'obtention du revenu, imputer le montant de la location sur le gain réalisé. Certes, la déduction de tels amortissements doit-elle se tenir dans les limites des usages commerciaux et l'on ne saurait sans autre examen admettre en l'occurrence les chiffres figurant dans les comptes du recourant. Sur ce point, une instruction complémentaire s'impose. Il y a dès lors lieu de renvoyer la cause à l'administration pour qu'elle procède aux investigations nécessaires et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