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183</w:t>
      </w:r>
    </w:p>
    <w:p>
      <w:r>
        <w:t>Bundesgericht (BGE), 1982-06-28, DE</w:t>
      </w:r>
    </w:p>
    <w:p>
      <w:r>
        <w:rPr>
          <w:b/>
        </w:rPr>
        <w:t xml:space="preserve">Quelle: </w:t>
      </w:r>
      <w:r>
        <w:t>https://mcp.opencaselaw.ch/entscheid/bge_BGE_108_V_183</w:t>
      </w:r>
    </w:p>
    <w:p>
      <w:r>
        <w:t>FR: ATF 108 V 183</w:t>
      </w:r>
    </w:p>
    <w:p>
      <w:r>
        <w:t>IT: DTF 108 V 183</w:t>
      </w:r>
    </w:p>
    <w:p>
      <w:pPr>
        <w:pStyle w:val="Heading2"/>
      </w:pPr>
      <w:r>
        <w:t>Regeste</w:t>
      </w:r>
    </w:p>
    <w:p>
      <w:r>
        <w:t>Regeste Art. 52 AHVG. Schadenersatzpflicht des Arbeitgebers. In casu verneint, weil Rechtfertigungs- bzw. Exkulpationsgründe nachgewiesen.</w:t>
      </w:r>
    </w:p>
    <w:p>
      <w:r>
        <w:t>Regeste Art. 52 LAVS. Obligation de l'employeur de réparer le dommage. In casu niée, des motifs de nature à justifier ou à excuser le comportement de l'intéressé ayant été établis.</w:t>
      </w:r>
    </w:p>
    <w:p>
      <w:r>
        <w:t>Regesto Art. 52 LAVS. Obbligo del datore di lavoro di risarcire il danno. In casu negato essendo stati provati motivi di giustificazione rispettivamente di discolpa.</w:t>
      </w:r>
    </w:p>
    <w:p>
      <w:pPr>
        <w:pStyle w:val="Heading2"/>
      </w:pPr>
      <w:r>
        <w:t>Erwägungen</w:t>
      </w:r>
    </w:p>
    <w:p>
      <w:r>
        <w:rPr>
          <w:b/>
        </w:rPr>
        <w:t>E. 1</w:t>
      </w:r>
    </w:p>
    <w:p>
      <w:r>
        <w:t>a) Nach Art. 52 AHVG hat ein Arbeitgeber, der durch absichtliche oder grobfahrlässige Missachtung von Vorschriften einen Schaden verschuldet, diesen der Ausgleichskasse zu ersetzen. BGE 108 V 183 S. 186 Art. 14 Abs. 1 AHVG in Verbindung mit Art. 34 f. AHVV schreibt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 und Abrechnungspflicht des Arbeitgebers ist eine gesetzlich vorgeschriebene öffentlichrechtliche Aufgabe. Dazu hat das Eidg. Versicherungsgericht wiederholt erklärt, dass die Nichterfüllung dieser öffentlichrechtlichen Aufgabe eine Missachtung von Vorschriften im Sinne von Art. 52 AHVG bedeute und die volle Schadendeckung nach sich ziehe ( BGE 103 V 122 , EVGE 1961 S. 230). Anderseits bejahte das Gericht die Schadenersatzpflicht des Arbeitgebers ausdrücklich nur für jene Fälle, in denen der Schaden auf eine absichtliche oder grobfahrlässige Verletzung von Vorschriften der AHV-Gesetzgebung zurückgeführt werden müsse ( BGE 103 V 124 Erw. 6, BGE 98 V 29 Erw. 6). Dabei sind sowohl grobe Fahrlässigkeit als auch Absicht verneint worden, wenn der Arbeitgeber aus Mangel an Mitteln es unterlassen hat, die paritätischen Beiträge der Ausgleichskasse zu bezahlen (ZAK 1970 S. 105). b) Die bisherige Praxis lässt nicht klar erkennen, ob die Haftbarkeit des Arbeitgebers nach Art. 52 AHVG allenfalls aus Gründen, welche die Missachtung von Vorschriften als rechtmässig erscheinen lassen oder ein schuldhaftes Verhalten ausschliessen würden, verneint werden könnte. Das Gesamtgericht, das sich erneut mit der Frage befasste, gelangte zu folgenden Schlüssen: Die wesentliche Voraussetzung für die Schadenersatzpflicht besteht nach dem Wortlaut des Art. 52 AHVG darin, dass der Arbeitgeber absichtlich oder grobfahrlässig Vorschriften verletzt hat und dass durch diese Missachtung ein Schaden verursacht worden ist. Absicht bzw.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zwar ein Arbeitgeber BGE 108 V 183 S. 187 in vorsätzlicher Missachtung der AHV-Vorschriften der Ausgleichskasse einen Schaden zufügt, aber trotzdem nicht schadenersatzpflichtig wird, wenn besondere Umstände die Nichtbefolgung der einschlägigen Vorschriften als erlaubt oder nicht schuldhaft erscheinen lassen. Die Ausgleichskasse, welche feststellt, dass sie einen durch Missachtung von Vorschriften entstandenen Schaden erlitten hat, darf davon ausgehen, dass der Arbeitgeber die Vorschriften absichtlich oder mindestens grobfahrlässig verletzt hat, sofern keine Anhaltspunkte für die Rechtmässigkeit des Handelns oder die Schuldlosigkeit des Arbeitgebers bestehen. Gestützt darauf verfügt sie im Sinne von Art. 81 Abs. 1 AHVV die Ersetzung des Schadens durch den Arbeitgeber. Diesem steht das Recht zu, im Einspracheverfahren ( Art. 81 Abs. 2 AHVV ) Rechtfertigungs- und Exkulpationsgründe geltend zu machen, für die er im Rahmen seiner Mitwirkungspflicht den entsprechenden Nachweis zu erbringen hat. Die Ausgleichskasse prüft in Anwendung der Untersuchungsmaxime die Einwände des Arbeitgebers. Erachtet sie die vorgebrachten Rechtfertigungs- oder Exkulpationsgründe als gegeben, so heisst sie die Einsprache gut. Andernfalls hat sie gemäss Art. 81 Abs. 3 AHVV Klage zu erheben.</w:t>
      </w:r>
    </w:p>
    <w:p>
      <w:r>
        <w:rPr>
          <w:b/>
        </w:rPr>
        <w:t>E. 2</w:t>
      </w:r>
    </w:p>
    <w:p>
      <w:r>
        <w:t>Im vorliegenden Fall steht fest, dass der Beschwerdeführer die paritätischen Beiträge und Verwaltungskosten von rund Fr. 75'000.-- absichtlich nicht termingemäss der Ausgleichskasse bezahlt hat und dass dieser dadurch ein Schaden erwachsen ist. Der Beschwerdeführer begründet dieses fehlbare Verhalten damit, dass er sich angesichts der Liquiditätsschwierigkeiten der Firma B. AG bemüht habe, mit den zur Verfügung gestandenen knappen Mitteln deren "lebenswichtige Verpflichtungen", nämlich die Lohnzahlungen und die Befriedigung gewisser Lieferanten, zu erfüllen, was anderseits dazu geführt habe, dass er u.a. die Beitragsforderungen der Ausgleichskasse nicht habe begleichen können. Damit stellt sich die Frage, ob besondere Umstände den Beschwerdeführer zu solchem Verhalten berechtigt haben oder es zu entschuldigen vermögen. Der Beschwerdeführer hat seinen Betrieb seit 1954 aus kleinen Anfängen zu einem Unternehmen aufgebaut, das im Jahre 1970 rund 60 Mitarbeiter beschäftigte. Im Zusammenhang mit dem rezessionsbedingten Rückgang des Auftragsvolumens und dem durch die Entstehung technischer Überkapazitäten bewirkten Preiszerfall im graphischen Gewerbe wurde erstmals im Jahre 1973 BGE 108 V 183 S. 188 ein Verlust von gegen Fr. 95'000.-- ausgewiesen. Zu jenem Zeitpunkt war die Firma B. AG offensichtlich noch nicht überschuldet. Als im Jahre 1974 neuerdings Verluste auftraten, bemühte sich der Beschwerdeführer mit Hilfe einer Treuhand-Firma erfolglos um den Verkauf seiner Firma. In der zweiten Hälfte 1975 und im ersten Quartal des Jahres 1976 schöpfte er Hoffnung und nahm u.a. Kontakte zur Beschaffung neuer Kredite auf. Als sich später weitere Schwierigkeiten einstellten, bemühte er sich erneut um den Verkauf seiner Firma. Ferner ging er zu deren Gunsten eine persönliche Solidarbürgschaft in der Höhe von Fr. 150'000.-- ein, für die er nach dem Konkurs bis zum Betrag von Fr. 140'000.-- durch die Bank X belangt worden ist. Demnach hat der Beschwerdeführer in einer für die ganze graphische Branche schwierigen Phase das getan, was vernünftigerweise von einem Unternehmer erwartet werden kann. Darüber hinaus hat er sogar sein nicht in der Firma investiertes privates Vermögen durch Eingehung einer Solidarbürgschaft für die Rettung des Geschäftes eingesetzt, wozu er rechtlich nicht verpflichtet war. Im Bestreben, sein Unternehmen zu erhalten, hat er allerdings zuerst die für dessen Überleben wesentlichen Forderungen der Arbeitnehmer und Lieferanten befriedigt, nicht aber gewisse Beitragsforderungen der Sozialversicherung. Er durfte dabei aber unter den gegebenen Umständen damit rechnen, dass er die Forderung der Ausgleichskasse in dem damals nicht unwahrscheinlichen Fall einer Rettung seiner Firma innert nützlicher Frist würde befriedigen können. Er konnte sich insbesondere darauf stützen, dass die Firma B. AG im Zeitpunkt der Konkurseröffnung buchmässig nicht überschuldet war, und zwar ohne Manipulation oder offensichtliche Fehlbewertung einzelner Positionen. Dass die Erwartungen des Beschwerdeführers sich in der Folge nicht verwirklichten, vermag daran nichts zu ändern. Die Verluste der Zweitklassgläubiger, zu denen auch die Ausgleichskasse gehört, sollen nach den Vorbringen des Beschwerdeführers denn auch darauf zurückzuführen sein, dass eine Liegenschaft, welche ein wichtiges Aktivum bildete, im Zuge der konkursamtlichen Liquidation nur zu einem erheblich unter dem Verkehrswert liegenden Preis habe verkauft werden können. Diese Behauptung ist nicht nur unbestritten, sie entspricht auch der allgemeinen Erfahrung, wonach auch realistische Schätzungen des Verkehrswertes bei Zwangsverkäufen häufig nicht erreicht werden, weil die Käufer eben wissen, BGE 108 V 183 S. 189 dass die Zwangsverwertung innerhalb gewisser Fristen durchgeführt werden muss, und sie sich damit in einer wesentlich bessern Lage befinden als bei einem freihändigen Verkauf. Dazu kommt im vorliegenden Fall, dass die betreffende Liegenschaft im Schatzungsbericht des Baumeisters R. vom 5. September 1973 mit Fr. 1'600'000.-- bewertet worden war, dagegen in der Bilanz vom 18. Mai 1977 nur mit Fr. 1'440'000.-- figurierte. Daraus ergibt sich folgendes: Wohl stand es nicht im Einklang mit der AHV-Ordnung, dass der Beschwerdeführer absichtlich die fraglichen paritätischen Sozialversicherungsbeiträge der Ausgleichskasse nicht ablieferte. Doch lassen der Beweggrund und die übrigen Umstände, nämlich die nicht zum vorneherein aussichtslose Rettung des Betriebes durch Befriedigung lebenswichtiger Forderungen in der begründeten Meinung, die geschuldeten Beiträge innert nützlicher Frist später ebenfalls bezahlen zu können, das fehlerhafte Verhalten des Beschwerdeführers als entschuldbar erscheinen. Demzufolge ist die Schadenersatzpflicht zu verneinen. Dispositiv Demnach erkennt das Eidg. Versicherungsgericht: In Gutheissung der Verwaltungsgerichtsbeschwerde werden der Entscheid des Versicherungsgerichtes des Kantons Basel-Landschaft vom 21. August 1980 und die Kassenverfügung vom 4. Juli 1979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