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389 vom 1. Januar 1982</w:t>
      </w:r>
    </w:p>
    <w:p>
      <w:r>
        <w:t>Bundesgericht (BGE), 1982-01-01, DE</w:t>
      </w:r>
    </w:p>
    <w:p>
      <w:r>
        <w:rPr>
          <w:b/>
        </w:rPr>
        <w:t xml:space="preserve">Quelle: </w:t>
      </w:r>
      <w:r>
        <w:t>https://mcp.opencaselaw.ch/entscheid/bge_BGE_108_Ib_389</w:t>
      </w:r>
    </w:p>
    <w:p>
      <w:r>
        <w:t>FR: BGE BGE 108 Ib 389 du 1 janvier 1982</w:t>
      </w:r>
    </w:p>
    <w:p>
      <w:r>
        <w:t>IT: BGE BGE 108 Ib 389 del 1 gennaio 1982</w:t>
      </w:r>
    </w:p>
    <w:p>
      <w:pPr>
        <w:pStyle w:val="Heading2"/>
      </w:pPr>
      <w:r>
        <w:t>Regeste</w:t>
      </w:r>
    </w:p>
    <w:p>
      <w:r>
        <w:t>Regeste Eintretensfrage; Art. 19 Verantwortlichkeitsgesetz. Das Bundesgericht kann im verwaltungsrechtlichen Klageverfahren nur dann auf eine gegen den Schweizerischen Elektrotechnischen Verein gerichtete Schadenersatzklage eintreten, wenn der Verein den behaupteten Schaden in Ausübung einer ihm übertragenen öffentlichrechtlichen Aufgabe zufügte.</w:t>
      </w:r>
    </w:p>
    <w:p>
      <w:r>
        <w:t>Regeste Question de recevabilité; art. 19 de la Loi sur la responsabilité. Saisi d'une action de droit administratif, le Tribunal fédéral n'entre en matière sur des conclusions en dommages-intérêts prises contre l'Association suisse des électriciens que si cette dernière a causé le prétendu dommage dans l'accomplissement d'une tâche de droit public dont elle a été chargée.</w:t>
      </w:r>
    </w:p>
    <w:p>
      <w:r>
        <w:t>Regesto Questione di ammissibilità; art. 19 della legge sulla responsabilità. Aditio con un'azione di diritto amministrativo, il Tribunale federale può entrare nel merito di conclusioni tendenti ad un risarcimento del danno, formulate nei confronti dell'Associazione svizzera degli elettrotecnici, soltanto se quest'ultima ha cagionato il preteso pregiudizio nell'esercizio di un compito attribuitole dal diritto pubblico.</w:t>
      </w:r>
    </w:p>
    <w:p>
      <w:pPr>
        <w:pStyle w:val="Heading2"/>
      </w:pPr>
      <w:r>
        <w:t>Erwägungen</w:t>
      </w:r>
    </w:p>
    <w:p>
      <w:r>
        <w:rPr>
          <w:b/>
        </w:rPr>
        <w:t>E. 1</w:t>
      </w:r>
    </w:p>
    <w:p>
      <w:r>
        <w:t>Gemäss Art. 116 lit. k OG beurteilt das Bundesgericht als einzige Instanz Klagen in Streitigkeiten aus dem Verwaltungsrecht des Bundes über "andere Angelegenheiten", soweit ein Bundesgesetz die verwaltungsrechtliche Klage vorsieht. Obwohl Art. 10 VG die verwaltungsrechtliche Klage für die Geltendmachung von Ansprüchen wegen Schädigungen eines Organes oder eines Angestellten einer mit öffentlichrechtlichen Aufgaben des Bundes betrauten und ausserhalb der ordentlichen Bundesverwaltung stehenden Organisation im Sinne von Art. 19 Abs. 1 VG nicht vorsieht, geht die Praxis des Bundesgerichtes dennoch in Ausfüllung einer Gesetzeslücke davon aus, dass diese Ansprüche mit verwaltungsrechtlicher Klage beim Bundesgericht geltend zu machen sind ( BGE 94 I 637 E. 1); nach Art. 19 Abs. 1 VG haftet die Organisation und subsidiär der Bund dem Dritten für den ihm von einem Organ oder Angestellten der Organisation widerrechtlich zugefügten Schaden jedoch nur dann, wenn dies in Ausübung der der Organisation übertragenen öffentlichrechtlichen Aufgaben geschah. Nur wenn auch diese letztere Voraussetzung gegeben ist, vermag das Bundesgericht auf die verwaltungsrechtliche Klage einzutreten. Zu prüfen ist daher zunächst, ob der behauptete Schaden der Klägerin in Ausübung einer dem Schweizerischen Elektrotechnischen Verein übertragenen öffentlichrechtlichen Aufgabe zugefügt wurde. BGE 108 Ib 389 S. 391</w:t>
      </w:r>
    </w:p>
    <w:p>
      <w:r>
        <w:rPr>
          <w:b/>
        </w:rPr>
        <w:t>E. 2</w:t>
      </w:r>
    </w:p>
    <w:p>
      <w:r>
        <w:t>Inspektor Iseli hat im Verwaltungsgebäude der VITA-Versicherungsgesellschaft eine Hausinstallationskontrolle durchgeführt, die auch von fachkundigen Privatpersonen hätte vorgenommen werden können. Tatsächlich ist die gemäss Art. 123 Abs. 1 der VO über die Erstellung, den Betrieb und den Unterhalt von elektrischen Stromanlagen vom 7. Juli 1933 (Starkstromverordnung; StV; SR 734.2) nach Vollendung der Hausinstallation vorzunehmende Kontrolle nicht vom Eidgenössischen Starkstrominspektorat vorzunehmen, welches eine öffentlichrechtliche Organisation ist und amtliche Funktionen ausübt, sondern vom "Betriebsinhaber der elektrischen Anlage, an welche die Hausinstallation angeschlossen ist" (Art. 26 BG betreffend die elektrischen Schwach- und Starkstromanlagen vom 24. Juni 1902; ElG; SR 734.0 in Verbindung mit Art. 123 Abs. 2 StV ). Die Kontrolle hat der Betriebsinhaber mit Personen zu bewerkstelligen, die an der Errichtung der zu kontrollierenden Hausinstallation nicht beteiligt waren ( Art. 123 Abs. 3 StV : Grundsatz, dass niemand sich selber kontrollieren soll), die fachkundig sind ( Art. 120ter StV ) oder eine Kontrolleurprüfung beim Eidgenössischen Starkstrominspektorat bestanden haben. Letzteres führt lediglich die Oberaufsicht über die Kontrolle der Hausinstallationen ( Art. 123 Abs. 5 StV ); ihm gegenüber hat sich der kontrollpflichtige Betriebsinhaber über die Vornahme der Kontrolle auszuweisen ( Art. 26 ElG , Art. 123 Abs. 2 StV ). Art. 21 der VO über die Hausinstallationskontrolle vom 9. September 1975 (SR 734.221) präzisiert denn auch unter dem Randtitel "Kontrollbefugnis/Recht der Ausübung", dass die Kontrolle nur Fachleuten übertragen werden dürfe, welche die nötige Sachkunde aufwiesen, einen Ausweis des Eidgenössischen Starkstrominspektorats über die bestandene Kontrolleurprüfung besitzen oder schon vor dem 1. Januar 1950 vom Starkstrominspektorat anerkannte Hausinstallationen durchführten. Wesentlich ist somit die Fachkunde des Kontrolleurs; von vorliegend nicht zutreffenden Fällen abgesehen ist aber nicht vorgeschrieben, dass die Hausinstallationskontrolle nur durch Funktionäre einer mit öffentlichrechtlichen Aufgaben betrauten Organisation durchgeführt werden können. So hat denn auch der Schweizerische Elektrotechnische Verein den Auftrag zur Durchführung der Abnahmekontrolle der Hausinstallationen im Verwaltungsgebäude der VITA-Versicherungsgesellschaft nicht in seiner Funktion als Inhaber des Eidgenössischen Starkstrominspektorates übernommen, sondern im Rahmen BGE 108 Ib 389 S. 392 eines privatrechtlichen Vertrages: denn der Verein betreibt neben dem Eidgenössischen Starkstrominspektorat mit seinem öffentlichrechtlichen Charakter noch ein eigenes Starkstrominspektorat als technische Prüfanstalt im Sinne von Art. 2 Ziffer 3 und 19 Ziffer 1 der Vereinsstatuten und führt im Rahmen dieses vereinseigenen Inspektorats private Kontrollarbeiten aus. Somit können die von der Klägerin im Zusammenhang mit der strittigen Hausinstallationskontrolle gegen den Schweizerischen Elektrotechnischen Verein geltend gemachten Ansprüche nicht gestützt auf dessen Eigenschaft als Träger des Eidgenössischen Starkstrominspektorates, sondern - wenn überhaupt - nur gegen den Elektrotechnischen Verein als private Kontrollfirma durchgesetzt werden. Damit entfällt aber die Zuständigkeit des Bundesgerichts für die Beurteilung des geltend gemachten Anspruches im verwaltungsrechtlichen Klageverfahren (vgl. dazu auch BGE 94 I 638 ff.). Der Anspruch ist vielmehr beim zuständigen Zivilrichter geltend zu machen. Auf die Klage ist somit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