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186 vom 1. Januar 1982</w:t>
      </w:r>
    </w:p>
    <w:p>
      <w:r>
        <w:t>Bundesgericht (BGE), 1982-01-01, DE</w:t>
      </w:r>
    </w:p>
    <w:p>
      <w:r>
        <w:rPr>
          <w:b/>
        </w:rPr>
        <w:t xml:space="preserve">Quelle: </w:t>
      </w:r>
      <w:r>
        <w:t>https://mcp.opencaselaw.ch/entscheid/bge_BGE_108_Ib_186</w:t>
      </w:r>
    </w:p>
    <w:p>
      <w:r>
        <w:t>FR: BGE BGE 108 Ib 186 du 1 janvier 1982</w:t>
      </w:r>
    </w:p>
    <w:p>
      <w:r>
        <w:t>IT: BGE BGE 108 Ib 186 del 1 gennaio 1982</w:t>
      </w:r>
    </w:p>
    <w:p>
      <w:pPr>
        <w:pStyle w:val="Heading2"/>
      </w:pPr>
      <w:r>
        <w:t>Regeste</w:t>
      </w:r>
    </w:p>
    <w:p>
      <w:r>
        <w:t>Regeste Pflicht der Banken zur Auskunftserteilung über die wirtschaftlichen Hintergründe von in Aussicht genommenen Geschäften. Art. 19 Abs. 2, 23bis (BankG; Art. 9 Abs. 3, Anhang II lit. C Abs. 5 (BankV). 1. Die Eidgenössische Bankenkommission kann die ihrer Aufsicht unterstellten Banken ohne Verletzung von Bundesrecht verpflichten, sowohl bei bankenmässigen Risikogeschäften (E. 3) als auch bei Treuhandgeschäften (E. 5a) die wirtschaftlichen Hintergründe der in Aussicht genommenen Geschäfte abzuklären, wenn im Einzelfall Anzeichen darauf hindeuten, dass die Transaktion Teil eines unsittlichen oder rechtswidrigen Sachverhaltes bilden könnte oder wenn es sich um ein kompliziertes, ungewöhnliches oder bedeutsames Geschäft handelt. 2. Wann ein konkretes Bankgeschäft als "bedeutend" anzusehen ist, bleibt dem technischen Ermessen der Bankenkommission anheimgestellt (E. 5c); das Bundesgericht schreitet diesbezüglich nur ein, wenn ein Ermessensfehler (Art. 104 lit. a OG) vorliegt. Anforderungen an die Begründungspflicht der Bankenkommission (E. 5d).</w:t>
      </w:r>
    </w:p>
    <w:p>
      <w:r>
        <w:t>Regeste Obligation d'une banque de se renseigner sur les raisons économiques qui motivent les opérations envisagées (art. 19 al. 2, 23bis LB, art. 9 al. 3 et Annexe II lettre C ch. 5 OB). 1. La Commission fédérale des banques peut, sans violer le droit fédéral, contraindre les banques soumises à son contrôle à élucider les raisons économiques des opérations envisagées, aussi bien pour les opérations comportant des risques (consid. 3) que pour les opérations fiduciaires (consid. 5a), lorsque dans un cas concret des indices font craindre que la transaction puisse constituer l'élément d'un état de fait illicite ou contraire aux moeurs ou lorsqu'il s'agit d'une opération compliquée, inhabituelle ou importante. 2. Le point de savoir quand une opération bancaire doit être considérée comme importante relève de l'appréciation technique de la Commission fédérale des banques (consid. 5c); le Tribunal fédéral n'intervient que s'il y a abus ou excès du pouvoir d'appréciation (art. 104 lettre a OJ). Exigences quant à la motivation de la Commission fédérale des banques (consid. 5d).</w:t>
      </w:r>
    </w:p>
    <w:p>
      <w:r>
        <w:t>Regesto Obbligo delle banche d'informare sulle ragioni economiche che motivano le operazioni previste (art. 19 cpv. 2, 23bis LBCR, art. 93 cpv. 3 e Allegato II lett. C n. 5 RBCR). 1. La Commissione federale delle banche può, senza violare il diritto federale, costringere le banche soggette al suo controllo ad acclarare le ragioni economiche sia di operazioni comportanti rischi (consid. 3), sia di operazioni a titolo fiduciario (consid. 5a), allorquando esistano nel caso concreto indizi suscettibili di far ritenere che l'operazione possa essere un elemento di uno stato di fatto illecito o contrario ai buoni costumi, o allorquando si tratti di un'operazione complicata, inabituale od importante. 2. È rimesso all'apprezzamento tecnico della Commissione federale delle banche accertare quando un'operazione bancaria debba essere considerata importante (consid. 5c); il Tribunale federale interviene soltanto in caso d'abuso o di eccesso del potere d'apprezzamento (art. 104 lett. a OG). Requisiti relativi all'obbligo di motivazione incombente alla Commissione federale delle banche (consid. 5d).</w:t>
      </w:r>
    </w:p>
    <w:p>
      <w:pPr>
        <w:pStyle w:val="Heading2"/>
      </w:pPr>
      <w:r>
        <w:t>Erwägungen</w:t>
      </w:r>
    </w:p>
    <w:p>
      <w:r>
        <w:rPr>
          <w:b/>
        </w:rPr>
        <w:t>E. 2</w:t>
      </w:r>
    </w:p>
    <w:p>
      <w:r>
        <w:t>a) Nach Art. 23bis Abs. 1 BankG trifft die Bankenkommission die zum Vollzug des Gesetzes notwendigen Verfügungen; überdies kann die Kommission gemäss Art. 23bis Abs. 2 BankG von den Revisionsstellen und von den Banken alle Auskünfte und Unterlagen verlangen, die sie zur Erfüllung ihrer Aufgabe benötigt. Die Frage, welche Auskünfte und Unterlagen "zur Erfüllung der Aufgaben der Bankenkommission" erforderlich sind, muss durch Auslegung des Gesetzes ermittelt werden. Welche Auskünfte und Unterlagen dies im einzelnen sind, ist jedoch weitgehend dem technischen Ermessen der Bankenkommission anheimgestellt, weshalb das Bundesgericht nur bei eigentlichen Ermessensfehlern in ihren Entscheid eingreift. b) Die Bankenkommission ist bei der Ausübung ihrer Aufsichtstätigkeit in erster Linie auf die von der bankengesetzlichen Revisionsstelle vorgelegten Berichte angewiesen. Der Gesetzgeber hat denn auch dafür gesorgt, dass den Revisionsstellen alle erforderlichen Unterlagen und sonstigen Informationen zur Verfügung stehen, um ihnen zu erlauben, möglichst aussagekräftige Revisionsberichte anzufertigen. Nach Art. 19 Abs. 2 BankG hat die Bank der Revisionsstelle jederzeit Einsicht in die Bücher und Belege zu gewähren, die für die Feststellung und Bewertung der Aktiven und Passiven im schweizerischen Bankgeschäft üblichen Unterlagen bereitzuhalten BGE 108 Ib 186 S. 190 sowie alle Aufschlüsse zu erteilen, die zur Erfüllung der Prüfungspflicht erforderlich sind. Sodann hat die Geschäftsführung der Bank bei allen mit Risiko verbundenen Geschäften die für die Beschlussfassung und die Überwachung erforderlichen Unterlagen zusammenzustellen. Diese müssen auch der Revisionsstelle erlauben, sich ein zuverlässiges Urteil über das Geschäft zu bilden (Art. 9 Abs. 1 in Verbindung mit Art. 9 Abs. 3 BankV ). Nach der Praxis der Bankenkommission hat die Bank in Erfüllung der Dokumentationspflichten gemäss Art. 19 Abs. 2 BankG und Art. 9 Abs. 3 BankV die "wirtschaftlichen Hintergründe" des in Aussicht genommenen Geschäftes abzuklären, wenn im Einzelfall Anzeichen darauf hindeuten, dass die Transaktion Teil eines unsittlichen oder rechtswidrigen Sachverhaltes bilden könnte oder wenn es sich um ein kompliziertes, ungewöhnliches oder bedeutsames Geschäft handelt (EBK-Bulletin Nr. 7, S. 37 ff. und S. 39 ff.).</w:t>
      </w:r>
    </w:p>
    <w:p>
      <w:r>
        <w:rPr>
          <w:b/>
        </w:rPr>
        <w:t>E. 3</w:t>
      </w:r>
    </w:p>
    <w:p>
      <w:r>
        <w:t>a) Es fragt sich, ob Art. 19 Abs. 2 BankG und Art. 9 Abs. 3 BankV , auf welchen die Auskunftspflicht der Bank gegenüber der Revisionsstelle beruht, die Auferlegung der Pflicht zur Abklärung des "wirtschaftlichen Hintergrundes" von Bankgeschäften - Risikogeschäften einerseits (E. 3 und 4), Treuhandgeschäfte anderseits (E. 5) - erlauben. Bei Risikogeschäften hat die Bank die Unterlagen bereitzustellen, die es einem fachkundigen Dritten, also z.B. der bankengesetzlichen Revisionsstelle, erlauben, "sich ein zuverlässiges Urteil über das Geschäft zu bilden" (vgl. Art. 9 Abs. 3 BankV ). Solchermassen ausgestaltete Unterlagen müssen einem aussenstehenden Fachmann die Beantwortung der Frage erlauben, ob durch das Geschäft irgendwelche Regeln der Bankengesetzgebung verletzt werden. Als Bestandteil des öffentlichen Rechtes sind die Normen der Bankengesetzgebung grundsätzlich zwingender Natur, weshalb die zu beurteilenden Bankgeschäfte nicht nur mit einem Teil sondern mit allen zwingenden Normen des Bankenrechtes in Übereinstimmung sein müssen. Entgegen der Auffassung der Beschwerdeführerin genügt dazu die Abklärung der Bonität (Zahlungsfähigkeit) der gegenüber der Bank Verpflichteten demnach noch nicht. Die von den Banken anzufertigenden Unterlagen müssen auch Schlüsse darauf zulassen, ob das konkrete Geschäft nicht Bestandteil eines rechts- oder sittenwidrigen Sachverhaltes ist. Wäre dies nämlich der Fall, so wäre die durch Art. 3 Abs. 2 lit. c BankG verlangte Seriosität der Geschäftsführung, welche als Voraussetzung für die BGE 108 Ib 186 S. 191 Ausübung der Bankentätigkeit dauernd zu gewährleisten ist, offensichtlich in Frage gestellt. Es ist nicht zu bestreiten, dass die genaue Kenntnis des Rechtsgrundes einer Finanztransaktion oder, wie es die Bankenkommission noch allgemeiner sagt, des wirtschaftlichen Hintergrundes des Geschäftes, es erlaubt, zu beurteilen, ob das Geschäft allenfalls gegen die Regeln der Bankengesetzgebung verstösst. Dabei kommt der Kenntnis des Rechtsgrundes eines Geschäftes nicht nur im Hinblick auf die Beurteilung seiner Seriosität Bedeutung zu; es lassen sich daraus überdies auch direkte Rückschlüsse auf das Risiko der Transaktion ableiten, kann doch die zivilrechtliche Nichtigkeit des Grundgeschäftes die Schadenersatzpflicht der Bank nach sich ziehen (unveröffentlichter Entscheid des Bundesgerichtes vom 14. November 1979 i.S. Bank Cantrade AG). Die Rüge der Beschwerdeführerin, es sei "unerfindlich", was die Bankenkommission mit den Angaben über den wirtschaftlichen Hintergrund der Geschäfte "anfangen" soll, ist daher ohne weiteres zurückzuweisen. Als Fazit ist festzuhalten, dass die Abklärung des wirtschaftlichen Hintergrundes eines Bankgeschäftes geeignet ist, die konkrete Risikolage sowie allgemein die Konformität des Geschäftes mit dem Bankenrecht zu beurteilen, weshalb eine solchermassen ausgestaltete Dokumentation aller Bankgeschäfte an sich geboten wäre. b) Die Beschwerdeführerin wendet gegen die Pflicht zur Abklärung des wirtschaftlichen Hintergrundes der strittigen Geschäfte ein, ein solches Vorgehen müsse von den Bankkunden als Misstrauensvotum angesehen werden, wodurch die Wettbewerbsfähigkeit der betroffenen Banken unzumutbar beeinträchtigt würde. Es ist zuzugeben, dass die Abklärung des wirtschaftlichen Hintergrundes jedes kleinen, alltäglichen oder unbedeutenden Bankgeschäftes nicht nur einen grossen administrativen Aufwand der Banken bedeuten würde, sondern wohl auch von den betroffenen Bankkunden nicht verstanden würde. In Anwendung des Verhältnismässigkeitsprinzipes geht die Praxis der Bankenkommission jedoch davon aus, dass nur bei denjenigen Geschäften eine Abklärung des wirtschaftlichen Hintergrundes vorzunehmen ist, bei welchen Anzeichen darauf hindeuten, dass die Transaktion Teil eines unsittlichen oder rechtswidrigen Sachverhaltes bilden könnte oder wenn es sich um ein kompliziertes, ungewöhnliches oder bedeutsames Geschäft handelt. Es entspricht einer durchaus üblichen und alltäglichen Reaktion jedes sorgfältigen Kaufmannes im BGE 108 Ib 186 S. 192 allgemeinen und jedes sorgfältigen Banquiers im besonderen, sich für den Abschluss qualifizierter Geschäfte im oben umschriebenen Sinne besonders aussagekräftige und detaillierte Entscheidungsgrundlagen bereitzustellen; die Aufsichtsbehörde ist darauf angewiesen, bei Geschäften, die sie sich begründetermassen besonders genau ansehen will, über eine solche Dokumentation zu verfügen. Die Beschwerdeführerin macht denn auch im Grunde die Gesetzwidrigkeit dieser Praxis der Bankenkommission nicht geltend; sie behauptet bloss, die Voraussetzungen für die Anwendbarkeit dieser Praxis auf die strittigen Geschäfte seien nicht erfüllt. Wie es sich damit verhält, wird noch zu prüfen sein. Jedenfalls kann hier festgehalten werden, dass die Abklärung des wirtschaftlichen Hintergrundes von qualifizierten Geschäften im Sinne der Praxis der Bankenkommission (E. 2 am Ende) nicht nur von der Sache her geboten, sondern auch verhältnismässig ist.</w:t>
      </w:r>
    </w:p>
    <w:p>
      <w:r>
        <w:rPr>
          <w:b/>
        </w:rPr>
        <w:t>E. 5</w:t>
      </w:r>
    </w:p>
    <w:p>
      <w:r>
        <w:t>Es fragt sich, ob die Beschwerdeführerin verpflichtet ist, auch den wirtschaftlichen Hintergrund der in Frage stehenden Treuhandgeschäfte abzuklären. a) Unter Treuhandgeschäften sind nach Anhang II lit. c Abs. 5 BankV zu verstehen: Anlagen und Kredite, welche die Bank im eigenen Namen, jedoch aufgrund eines schriftlichen Auftrags ausschliesslich für Rechnung und Gefahr des Kunden tätigt oder gewährt. Der Auftraggeber trägt das Währungs-, Transfer- und Delkredererisiko, ihm kommt der volle Ertrag des Geschäftes zu; die Bank bezieht nur eine Kommission. Diese Legaldefinition lässt unerwähnt, dass zwischen dem Kunden (Treugeber oder Fiduziant) und der Bank (Fiduziar) ein Auftragsverhältnis besteht, aus welchem die Bank gegenüber ihrem Kunden haftpflichtig werden kann. Das Auftragsrecht auferlegt dem Fiduziar Sorgfaltspflichten ( Art. 398 OR ), deren Nichtbeachtung eine haftungsbegründende Vertragsverletzung darstellt. Trotz dieser (selbstverständlichen) Haftungsmöglichkeit des Fiduziars aus dem Grundgeschäft braucht im vorliegenden Falle die Frage, ob das Treuhandgeschäft ganz oder teilweise den eigentlichen bankenrechtlichen Risikogeschäften gleichgesetzt werden müsse, nicht beantwortet zu werden. Obwohl nämlich bei Treuhandgeschäften bloss eine auftragsrechtliche Haftung der Bank besteht und daher der Schutz der Interessen der Bankengläubiger weniger stark im Vordergrund steht wie dies bei den eigentlichen Risikogeschäften der Fall ist, hat die Bank auch bei Treuhandgeschäften dafür zu sorgen, dass durch sie keine zwingenden Normen BGE 108 Ib 186 S. 193 der Bankengesetzgebung verletzt werden; dies ist namentlich mit Bezug auf die Frage von Bedeutung, ob das Geschäft nicht rechts- oder sittenwidrig ist ( Art. 3 Abs. 2 lit. c BankG ). Überdies ist festzuhalten, dass das Volumen der Treuhandgeschäfte bei zahlreichen Instituten ein Mass erreicht hat, das die "bloss" auftragsrechtliche Haftungsmöglichkeit doch zu einem nicht zu vernachlässigenden Risikofaktor werden liess; diese Haftungsmöglichkeit kann sich ausserdem in jenen Fällen, in welchen die Bank für den Fiduzianten die Auswahl des Dritten zu besorgen hat, erheblich erhöhen, hat doch der Fiduziar diesfalls auch für eine gute Risikoverteilung für ihren Kunden zu sorgen. Es ist daher festzuhalten, dass die Abklärung der wirtschaftlichen Hintergründe auch bei Treuhandgeschäften trotz des beschränkten Risikos für die Bankengläubiger geboten ist, jedenfalls dann, wenn das Geschäft "besondere Umstände" im Sinne der dargestellten bundesrechtskonformen Praxis der Bankenkommission (E. 2b) aufweist. Ohne eine solche Abklärung wäre es weder der bankengesetzlichen Revisionsstelle noch der Bankenkommission selbst möglich, ihre Aufgabe zu erfüllen, nämlich zu prüfen, ob alle beaufsichtigten Bankinstitute die zwingenden Bestimmungen der Bankengesetzgebung inklusive die Vorschriften über die Seriosität der Geschäftsführung einhalten ( Art. 19 Abs. 1 BankG bzw. Art. 43-45 BankV und Art. 23 Abs. 1 BankG ). Zur Erfüllung dieser Aufgabe müssen diese beiden Stellen bei den "besonderen" Geschäften im Sinne der Praxis der Eidgenössischen Bankenkommission über eine ausreichende Dokumentation verfügen. Das Bundesgericht hat dementsprechend schon in BGE 106 Ib 145 ff. entschieden, dass auch bei ungewöhnlichen Treuhandgeschäften eine solche Dokumentationspflicht besteht. b) Die Eidgenössische Bankenkommission verlangt von der Beschwerdeführerin die Abklärung der wirtschaftlichen Hintergründe "der ausstehenden Treuhandgeschäfte"; die Vorinstanz ist der Ansicht, die anvisierten Geschäfte der Beschwerdeführerin seien ungewöhnlich und bedeutend, was nach ihrer Praxis die entsprechende Dokumentationspflicht der Bank nach sich ziehe. Aus den Ausführungen der Eidgenössischen Bankenkommission ergibt sich, dass sie die Beschwerdeführerin nur zur Abklärung der wirtschaftlichen Hintergründe der Grosstreuhandgeschäfte verhalten will, wenn auch die hiefür massgebliche Dispositiv-Ziffer 2 die gewünschte Klarheit vermissen lässt; dabei ist mit der Eidgenössischen Bankenkommission davon auszugehen, dass BGE 108 Ib 186 S. 194 diejenigen Treuhandgeschäfte, die zwischen den gleichen Parteien abgeschlossen werden und deren Verfalldatum nur unwesentlich voneinander abweichen, wirtschaftlich als Einheit anzusehen sind. Bei den am 31. Dezember 1980 ausstehenden Treuhandgeschäften der Beschwerdeführerin fallen sowohl auf der Seite der Kreditnehmer als auch auf derjenigen der Treugeber je zwei Partner auf, deren Geschäftsvolumen im Verhältnis zu den gesamten ausstehenden Geschäften einen bedeutenden Anteil erreicht. Auf der Seite der Kreditnehmer ist dies die Anlagen Leasing GmbH &amp; Co. AG und die Drogerie Discount GmbH &amp; Co. KG, die (zu dem von der bankengesetzlichen Revisionsstelle angegebenen Wechselkurs von Fr. 89.75 pro 100 deutsche Mark) zusammen ungefähr 72 Mio. Franken der insgesamt ausstehenden 105 Mio. Franken bezogen haben; diese Mittel stammen ausschliesslich von zwei zum Aktionärskreis der Bank gehörenden Treugebern. Die übrigen ausstehenden Treuhandgeschäfte zerfallen in zahlreiche kleinere Positionen, von welchen auch die Eidgenössische Bankenkommission nicht geltend macht, dass eines oder mehrere dieser Geschäfte Merkmale aufweisen würde, die gemäss ihrer Praxis die Abklärung der wirtschaftlichen Hintergründe erforderlich machen würde. Es ist deshalb davon auszugehen, dass der Beschwerdeführerin bei gegebenen Voraussetzungen von den am 31. Dezember 1980 ausstehenden Treuhandgeschäften lediglich die beiden genannten Hauptpositionen (W. und V. samt dem Verhältnis zu ihren Treugebern) zu dokumentieren haben wird. c) Es ist zu prüfen, ob die in diesem Zusammenhang massgeblichen Geschäfte überhaupt eine der besonderen Eigenschaften - kompliziert, ungewöhnlich, bedeutsam - aufweisen, die nach der dargestellten Praxis der Eidgenössischen Bankenkommission die Pflicht zur Abklärung des wirtschaftlichen Hintergrundes nach sich ziehen. Dies ist zu bejahen. Die beiden in E. 5b genannten Grossgeschäfte bilden einen massgeblichen Teil des gesamten Volumens der Treuhandgeschäfte der Beschwerdeführerin, weshalb sie für den Betrieb der Bankinvest AG als bedeutend anzusehen sind. Die bei den beiden Grossgeschäften involvierten Geldsummem (72 Mio. Franken) erreichen nach Ansicht der Eidgenössischen Bankenkommission sodann auch objektiv, also ohne Rücksicht auf das gesamte Volumen der Treuhandgeschäfte der Beschwerdeführerin einen Umfang, der eine sorgfältige Abklärung und Dokumentation dieser Transaktionen erforderlich macht. Der Umfang der Abklärungspflichten BGE 108 Ib 186 S. 195 bzw. das Mass der aufzuwendenden Sorgfalt ist im übrigen bei Organgeschäften das gleiche wie bei Bankgeschäften mit aussenstehenden Dritten. Von welchem Umfange an ein konkretes Geschäft als bedeutend anzusehen ist, ist eine (technische) Ermessensfrage, bei deren Überprüfung sich das Bundesgericht Zurückhaltung auferlegt. Die Beschwerdeführerin hat nicht geltend gemacht, die Eidgenössische Bankenkommission habe bei der Beantwortung der Frage, ob es sich bei den anvisierten Treuhandgeschäften um bedeutende Geschäfte handle, den ihr zustehenden Ermessensspielraum überschritten; sie hat bloss erklärt, auf den "betragsmässigen Umfang" der ausstehenden Treuhandgeschäfte komme es gar nicht an - eine Ansicht, die nach dem Gesagten offensichtlich unrichtig ist. Im übrigen ergeben sich auch aus den Akten keinerlei Anhaltspunkte, die den Schluss darauf zuliessen, dass die Treuhandgeschäfte entgegen der Ansicht der Eidgenössischen Bankenkommission als unbedeutend angesehen werden müssten. Das Bundesgericht hat deshalb keinen Grund, von der Beurteilung des Geschäftes durch die Eidgenössische Bankenkommission abzuweichen, ist doch ein diesbezüglicher Ermessensfehler der Vorinstanz weder ersichtlich noch auch nur behauptet. Unter diesen Umständen braucht nicht mehr abgeklärt zu werden, ob die beiden Geschäfte auch noch als ungewöhnlich zu qualifizieren sind, wie dies die Eidgenössische Bankenkommission annimmt. Es genügt die Feststellung, dass es sich bei den in Frage stehenden Treuhandgeschäften um bedeutende Geschäfte handelt; dies allein vermag schon die Pflicht der Bank zur Abklärung und Dokumentierung der betroffenen Geschäfte auszulösen. d) Es ist indessen zuzugeben, dass die von der Eidgenössischen Bankenkommission vorgebrachte Begründung, weshalb es sich bei den beiden zu dokumentierenden Treuhandgeschäften um "bedeutende Geschäfte" handeln soll, den rechtsstaatlichen Anforderungen an eine hinreichende Begründung nur knapp zu genügen vermag. Wenn auch die Eidgenössische Bankenkommission sich im vorliegenden Fall noch im Rahmen des ihr zustehenden Ermessensspielraumes gehalten hat und das Bundesgericht deshalb keinen Grund hat, die angefochtene Verfügung aufzuheben, wäre es doch gerade im Interesse der Rechtssicherheit geboten, wenn die Vorinstanz ihre Praxis mit Bezug auf die einzelnen Kriterien, die die Abklärung des wirtschaftlichen Hintergrundes von Bankgeschäften erforderlich machen, präzisieren würde. So wäre bei der BGE 108 Ib 186 S. 196 Beantwortung der Frage, ob ein bestimmtes Geschäft als bedeutend anzusehen ist, nicht nur ein Vergleich dieses Geschäftes mit dem gesamten Volumen dieser Geschäftssparte der betreffenden Bank vorzunehmen, sondern es wären die gesamten Umstände des Falles heranzuziehen, wobei das durch das Geschäft entstandene Risiko für die Bankengläubiger entsprechend in Rechnung zu stellen wäre. Bei Treuhandgeschäften, wo durch die bloss mandatsrechtliche Haftungsmöglichkeit eine relativ überblickbare Risikolage besteht, müssten dabei die involvierten Summen umso höher sein, um als bedeutend angesehen werden zu können. Das konkrete Geschäft wäre insbesondere auch zur gesamten Bedeutung des betreffenden Bankinstitutes in Relation zu setzen: Das gleiche Geschäft könnte danach für eine kleine Bank bedeutend sein, während es das für ein grosses Institut noch nicht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