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55 vom 1. Januar 1982</w:t>
      </w:r>
    </w:p>
    <w:p>
      <w:r>
        <w:t>Bundesgericht (BGE), 1982-01-01, DE</w:t>
      </w:r>
    </w:p>
    <w:p>
      <w:r>
        <w:rPr>
          <w:b/>
        </w:rPr>
        <w:t xml:space="preserve">Quelle: </w:t>
      </w:r>
      <w:r>
        <w:t>https://mcp.opencaselaw.ch/entscheid/bge_BGE_108_Ia_55</w:t>
      </w:r>
    </w:p>
    <w:p>
      <w:r>
        <w:t>FR: BGE BGE 108 Ia 55 du 1 janvier 1982</w:t>
      </w:r>
    </w:p>
    <w:p>
      <w:r>
        <w:t>IT: BGE BGE 108 Ia 55 del 1 gennaio 1982</w:t>
      </w:r>
    </w:p>
    <w:p>
      <w:pPr>
        <w:pStyle w:val="Heading2"/>
      </w:pPr>
      <w:r>
        <w:t>Regeste</w:t>
      </w:r>
    </w:p>
    <w:p>
      <w:r>
        <w:t>Regeste Art. 59 BV; Klage aus Art. 679 ZGB. 1. Zulässigkeit der staatsrechtlichen Beschwerde. Es gibt keinen eidgenössischen Gerichtsstand für Klagen aus Art. 679 ZGB (E. 1). 2. Wird mit der Klage aus Art. 679 ZGB die Behebung der durch die Überschreitung des Grundeigentums hervorgerufenen Schäden auf dem betroffenen Grundstück verlangt, so kann sich der Beklagte auf die Garantie des Wohnsitzgerichtsstandes berufen. Qualifizierung des Rechtsbegehrens (E. 2).</w:t>
      </w:r>
    </w:p>
    <w:p>
      <w:r>
        <w:t>Regeste Art. 59 Cst.; action fondée sur l'art. 679 CC. 1. Recevabilité du recours de droit public. Il n'existe aucun for fédéral pour les actions fondées sur l'art. 679 CC (consid. 1). 2. Dans la mesure où l'action fondée sur l'art. 679 CC est utilisée aux fins d'obtenir réparation des dommages causés au fonds en cause par l'exercice excessif du droit de propriété, l'intimé peut faire valoir la garantie du for de son domicile. Détermination de la nature des conclusions (consid. 2).</w:t>
      </w:r>
    </w:p>
    <w:p>
      <w:r>
        <w:t>Regesto Art. 59 Cost.; azione fondata sull'art. 679 CC. 1. Ammissibilità del ricorso di diritto pubblico. Non esiste alcun foro federale per le azioni fondate sull'art. 679 CC (consid. 1). 2. Nella misura in cui con l'azione fondata sull'art. 679 CC sia chiesto il risarcimento del danno causato al fondo colpito dall'esercizio eccessivo del diritto di proprietà, il convenuto può eccepire la garanzia del foro del suo domicilio. Determinazione della natura delle conclusioni (consid. 2).</w:t>
      </w:r>
    </w:p>
    <w:p>
      <w:pPr>
        <w:pStyle w:val="Heading2"/>
      </w:pPr>
      <w:r>
        <w:t>Erwägungen</w:t>
      </w:r>
    </w:p>
    <w:p>
      <w:r>
        <w:rPr>
          <w:b/>
        </w:rPr>
        <w:t>E. 1</w:t>
      </w:r>
    </w:p>
    <w:p>
      <w:r>
        <w:t>Die Klage stützt sich auf Art. 679 in Verbindung mit Art. 685 Abs. 1 ZGB . Der Beschwerdegegner begründet seinen Nichteintretensantrag damit, die örtliche Zuständigkeit für Klagen aus Art. 679 ZGB sei durch bundesrechtliche Vorschriften geregelt. Für die Beseitigungsklage sei von Bundesrechts wegen der Richter am Ort der gelegenen Sache zuständig, für die Schadenersatzklage der Richter am Wohnsitz des Beklagten. Art. 59 BV könne jedoch nicht angerufen werden, wenn eine bundesrechtliche Gerichtsstandsvorschrift eingreife. Die Verletzung solcher Vorschriften sei mit Berufung bzw. Nichtigkeitsbeschwerde zu rügen. Eine bundesrechtliche Gerichtsstandsvorschrift für Klagen aus Art. 679 ZGB besteht indessen nicht. Zwar ist allgemein anerkannt, dass die Beseitigungs- und Unterlassungsklage des Art. 679 ZGB am Ort der gelegenen Sache anzubringen ist, während für die Schadenersatzansprüche der Wohnsitzrichter zuständig ist (MEIER-HAYOZ, N. 140/141 zu Art. 679 ZGB ). Diese Regeln gelten jedoch nur im interkantonalen Verhältnis. Sie begründen keinen eidgenössischen Gerichtsstand für Klagen aus Art. 679 ZGB , gegenüber dem die in Art. 59 BV enthaltene Garantie des Wohnsitzrichters zurückzutreten hätte. Die Zuständigkeit des Wohnsitzrichters für die Schadenersatzklage lässt sich bundesrechtlich im Gegenteil nur auf diese letztere Bestimmung stützen. Im übrigen ist im vorliegenden Fall nicht die Gerichtsstandsvorschrift als solche streitig, sondern allein die Einordnung der Rechtsbegehren. Werden diese als Beseitigungs- oder Unterlassungsansprüche qualifiziert, ist unbestrittenermassen der Richter am Ort der gelegenen Sache (Nidwalden) zuständig. Handelt es sich dagegen um Schadenersatzansprüche, ist ebenso unbestrittenermassen der allgemeine Gerichtsstand des Wohnsitzes des Beklagten (Luzern) gegeben. Nachdem der Beschwerdeführer geltend macht, entgegen der Auffassung des Obergerichts liege eine persönliche Ansprache im Sinne von Art. 59 BV vor, so dass der Richter an seinem Wohnsitz für die Beurteilung der Klage zuständig sei, ist nach dem ausdrücklichen Vorbehalt von Art. 49 und 68 Abs. 1 lit. b OG nicht die Berufung bzw. die Nichtigkeitsbeschwerde, sondern die staatsrechtliche Beschwerde das gegebene Rechtsmittel.</w:t>
      </w:r>
    </w:p>
    <w:p>
      <w:r>
        <w:rPr>
          <w:b/>
        </w:rPr>
        <w:t>E. 2</w:t>
      </w:r>
    </w:p>
    <w:p>
      <w:r>
        <w:t>Die klägerischen Rechtsbegehren lauten auf Neuerstellung der Grenzmauer, auf Ausgleichung der auf der Parzelle des Klägers erfolgten Geländeveränderungen sowie auf Bezahlung von BGE 108 Ia 55 S. 58 allfälligen weiteren Instandstellungskosten, wie Gärtnerarbeiten. Wie der Beschwerdeführer zutreffend ausführt, geht es somit um die Behebung eines Schadens. Der Kläger verlangt neben der Bezahlung der Instandstellungskosten die Wiederherstellung des ursprünglichen Zustandes, und zwar auf seinem eigenen Grundstück. Er ersucht keineswegs um die Beseitigung eines eigentumsüberschreitenden Zustandes bzw. um die Durchführung von Arbeiten zur Beseitigung einer Schadensquelle auf dem Grundstück des Beklagten (dem Ausgangsgrundstück). Nach der in BGE 107 II 136 E. 3 vorgenommenen grundsätzlichen Unterscheidung gehört aber die Rückgängigmachung des Erfolges der Einwirkung, die Wiederherstellung des früheren Zustandes, nicht zum Beseitigungs-, sondern zum Schadenersatzanspruch. Charakteristisch für die Beseitigungsklage ist dagegen, dass sie sich gegen die Art der Bewirtschaftung des Ausgangsgrundstücks richtet. Das Obergericht hat die Klage daher zu Unrecht als (dingliche) Beseitigungsklage qualifiziert. Das Obergericht führt allerdings aus, die Begehren des Klägers seien auf die Anordnung von Schutzmassnahmen gegen die Gefahr eines weiteren Abrutschens seines Grundstücks zufolge der vorgenommenen Geländeveränderungen gerichtet. Ob die Rutschgefahr durch die Anbringung eines Betonriegels seitens des Beklagten behoben worden sei, könne erst nach Durchführung des Beweisverfahrens festgestellt werden. Die Klagebegehren umfassten somit nicht eine reine Schadenersatzklage, sondern eine Beseitigungsklage bzw. eine Klage auf Anordnung von Schutzmassnahmen. Es ist richtig, dass der Kläger seine Begehren mit dem Satz eingeleitet hat, es sei der Beklagte zu Vorkehren zu verpflichten, welche die Gefahr eines weiteren Abrutschens verhindern sollten. Er verlangt jedoch nicht die Beseitigung eines angeblich weiterdauernden Gefahrenzustandes auf dem Grundstück des Beklagten (der im seinerzeit vorgenommenen Aushub und im bestehenden und vor Jahren fertiggestellten Haus liegen würde), sondern schlicht und einfach die Behebung der durch die Einwirkungen verursachten Schäden an der Grenzmauer bzw. auf dem eigenen Grundstück. Das ist aber nach dem Gesagten Gegenstand der Schadenersatzklage. Im übrigen ist nach den Feststellungen des Obergerichts die Klage bezeichnenderweise dadurch veranlasst worden, dass sich die Parteien über die Kostentragung, also einen Schadenersatzposten, für den Bau einer neuen Grenzmauer nicht einigen konnten. BGE 108 Ia 55 S. 59</w:t>
      </w:r>
    </w:p>
    <w:p>
      <w:r>
        <w:rPr>
          <w:b/>
        </w:rPr>
        <w:t>E. 3</w:t>
      </w:r>
    </w:p>
    <w:p>
      <w:r>
        <w:t>Ist die vom Kläger eingereichte Klage als Schadenersatzklage zu betrachten, kann sich der Beschwerdeführer mit Erfolg auf die Garantie des Wohnsitzgerichtsstandes berufen.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