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289 vom 1. Januar 1982</w:t>
      </w:r>
    </w:p>
    <w:p>
      <w:r>
        <w:t>Bundesgericht (BGE), 1982-01-01, FR</w:t>
      </w:r>
    </w:p>
    <w:p>
      <w:r>
        <w:rPr>
          <w:b/>
        </w:rPr>
        <w:t xml:space="preserve">Quelle: </w:t>
      </w:r>
      <w:r>
        <w:t>https://mcp.opencaselaw.ch/entscheid/bge_BGE_108_Ia_289</w:t>
      </w:r>
    </w:p>
    <w:p>
      <w:r>
        <w:t>FR: BGE BGE 108 Ia 289 du 1 janvier 1982</w:t>
      </w:r>
    </w:p>
    <w:p>
      <w:r>
        <w:t>IT: BGE BGE 108 Ia 289 del 1 gennaio 1982</w:t>
      </w:r>
    </w:p>
    <w:p>
      <w:pPr>
        <w:pStyle w:val="Heading2"/>
      </w:pPr>
      <w:r>
        <w:t>Regeste</w:t>
      </w:r>
    </w:p>
    <w:p>
      <w:r>
        <w:t>Regeste Art. 4 BV. Kantonaler Zivilprozess. Überspitzter Formalismus. Unterzeichnen eines Rekurses durch einen Anwaltspraktikanten. Kennt ein Kanton das Anwaltsmonopol und erlaubt er Anwaltspraktikanten, Rekursschriften zu unterzeichnen, so verstösst die Rekursinstanz gegen Art. 4 BV, wenn sie, ohne die Identität des Praktikanten zu überprüfen, auf einen Rekurs nicht eintritt, der mit "im Namen von Rechtsanwalt..." eingelegt wird und mit einer unleserlichen, der Behörde nicht bekannten Unterschrift versehen ist.</w:t>
      </w:r>
    </w:p>
    <w:p>
      <w:r>
        <w:t>Regeste Art. 4 Cst. Procédure civile cantonale. Formalisme excessif. Signature d'un recours par un avocat stagiaire. Dans un canton qui connaît le monopole des avocats, mais où les avocats stagiaires sont admis à signer les actes de recours, il est contraire à l'art. 4 Cst. qu'une autorité de recours, sans procéder à la vérification de l'identité du signataire, déclare irrecevable un recours signé "au nom de Me ..." par quelqu'un dont la signature, difficilement lisible, ne lui est pas connue.</w:t>
      </w:r>
    </w:p>
    <w:p>
      <w:r>
        <w:t>Regesto Art. 4 Cost. Procedura civile cantonale. Formalismo eccessivo. Sottoscrizione di un ricorso da parte di un praticante avvocato. In un cantone in cui vige il monopolio degli avvocati ma in cui i praticanti avvocati sono ammessi a firmare gli atti di ricorso, è contrario all'art. 4 Cost. che un'autorità di ricorso, senza procedere alla verifica dell'identità del firmatario, dichiari inammissibile un ricorso firmato "a nome dell'avv..." da una persona la cui firma, difficilmente leggibile, non le è nota.</w:t>
      </w:r>
    </w:p>
    <w:p>
      <w:pPr>
        <w:pStyle w:val="Heading2"/>
      </w:pPr>
      <w:r>
        <w:t>Erwägungen</w:t>
      </w:r>
    </w:p>
    <w:p>
      <w:r>
        <w:rPr>
          <w:b/>
        </w:rPr>
        <w:t>E. 1</w:t>
      </w:r>
    </w:p>
    <w:p>
      <w:r>
        <w:t>Un formalisme excessif, c'est-à-dire qui n'est pas justifié par la protection d'un intérêt digne de considération ou qui complique inutilement l'application du droit matériel, constitue un déni de justice formel condamné par l' art. 4 Cst. ( ATF 105 Ia 53 consid. 3a; ATF 104 Ia 406 consid. 4c; ATF 102 Ia 94 consid. 2; ATF 101 Ia 114 s. consid. 5b et les arrêts cités). L'assimilation de l'excès de formalisme au déni de justice formel n'est autre qu'une application, propre à la procédure, du principe de la proportionnalité. C'est en effet sur la base du principe de la proportionnalité que l'on pourra déterminer si l'application des règles de la procédure, dont un certain formalisme est nécessaire pour assurer le déroulement régulier des procès et la sécurité du droit matériel, aboutit en réalité à entraver l'application de celui-ci ou à la rendre impossible, constituant ainsi un formalisme excessif (cf. P. MÜLLER, Le principe de la proportionnalité, in RDS 1978 II p. 263; ATF 104 Ia 111 s. consid. 5). Saisi d'un recours de droit public, le Tribunal fédéral examine en principe librement s'il y a formalisme excessif condamné par le droit fédéral; il n'examine cependant que sous l'angle restreint de l'arbitraire l'interprétation et l'application du droit cantonal déterminant. BGE 108 Ia 289 S. 291</w:t>
      </w:r>
    </w:p>
    <w:p>
      <w:r>
        <w:rPr>
          <w:b/>
        </w:rPr>
        <w:t>E. 2</w:t>
      </w:r>
    </w:p>
    <w:p>
      <w:r>
        <w:t>Selon la jurisprudence constante, l'exigence de la signature d'un recours est une condition de sa recevabilité ( ATF 102 IV 143 consid. 2 et les arrêts cités). Il n'y a pas lieu d'impartir un délai supplémentaire pour réparer l'absence de signature après l'expiration du délai, à moins d'une disposition légale contraire (même arrêt). Il est toutefois satisfait à cette exigence si la lettre d'accompagnement est signée ( ATF 83 II 514 , ATF 60 I 76 ), ou même simplement si la signature est apposée au verso de l'enveloppe contenant l'acte ( ATF 106 IV 67 consid. 1). Cette jurisprudence concerne essentiellement des situations où les actes judiciaires en question relèvent du droit fédéral. Les règles qu'elle pose ont toutefois une portée générale et doivent être appliquées également lorsqu'il s'agit de la signature d'actes judiciaires cantonaux, du moins dans la mesure où le droit cantonal n'y déroge pas d'une manière compatible avec l' art. 4 Cst. Aux termes de l'art. 395 al. 1 du code de procédure civile neuchâtelois (en abrégé: CPC), le recours en cassation est formé par requête adressée en deux doubles à la Cour de cassation civile. L' art. 108 al. 4 CPC dispose, dans le chapitre consacré à la "forme des actes", que "les doubles de l'exploit sont signés par la partie instante ou son mandataire". La procédure civile neuchâteloise ne connaît pas de disposition permettant de réparer l'absence de signature après l'expiration du délai. D'autre part, l'action intentée par P. est soumise, selon l'arrêt attaqué qui n'est pas contesté sur ce point, au monopole des avocats conformément à la législation cantonale. Il n'est pas contesté non plus qu'un recours émanant d'un stagiaire est recevable en procédure civile neuchâteloise.</w:t>
      </w:r>
    </w:p>
    <w:p>
      <w:r>
        <w:rPr>
          <w:b/>
        </w:rPr>
        <w:t>E. 3</w:t>
      </w:r>
    </w:p>
    <w:p>
      <w:r>
        <w:t>La Cour de cassation civile a déclaré le recours de B. irrecevable parce que "signé par un tiers non précisé sur ordre d'un avocat", et qu'en conséquence "on ignore si le signataire anonyme est un tiers, un employé ou un stagiaire de Me R.". La Cour ajoute que tant la collaboratrice de Me R. que son stagiaire "pouvait valablement recourir au nom de B., à condition d'agir et de signer ès qualités". Le recours dont il s'agit est signé. La jurisprudence relative à la signature d'un acte après l'expiration du délai n'est donc pas applicable. Dès lors, de deux choses l'une: ou bien la signature émane d'une personne habilitée (avocat, collaboratrice, stagiaire) dont la procuration éventuelle peut être déposée après coup; ou bien elle n'est pas celle d'une personne habilitée au sens de ce qui précède, et alors le recours est entaché d'un vice irrémédiable. BGE 108 Ia 289 S. 292 La recevabilité du recours dépend donc uniquement de l'identification de la personne qui l'a signé, dont la signature n'est pas sans autre déchiffrable avec certitude, et donc vérifiable, mais qui agissait sans doute dans le cadre de l'Etude de Me R. et par ordre (p.o.) de ce dernier. La signature apposée était du moins suffisamment lisible pour que la Cour de cassation puisse exclure qu'il s'agît de celle de Me R. ou de sa collaboratrice, Me C., qui doivent lui être connues. Le recours n'était donc recevable que si la personne qui l'a signé était avocat stagiaire en l'Etude de Me R., lequel affirme que tel était le cas de la signataire, dlle F. Il n'y a pas de raison de mettre en doute cette affirmation, que la Cour de cassation civile ne conteste d'ailleurs pas dans sa réponse au recours. Il est vrai que toute la procédure, jusqu'au recours déclaré irrecevable par la juridiction cantonale, a été conduite exclusivement au nom de B. par un avocat stagiaire de Me R. qui n'était pas dlle F., mais G. S. Il eût dès lors été pour le moins souhaitable que le changement de "mandataire" fût clairement indiqué. L'arrêt attaqué indique que Me R. a présenté "un" stagiaire au Tribunal cantonal: on ignore s'il s'agit de G. S. ou de dlle F., mais cela n'est pas décisif. Dès lors qu'un acte judiciaire émanant d'une Etude d'avocats occupant un avocat collaborateur et un avocat-stagiaire porte une signature manuscrite avec l'indication "p.o. Me X...", on peut présumer que cette signature est celle d'une personne habilitée à cet effet conformément à la réglementation cantonale du monopole des avocats. Si l'identification du signataire n'est pas possible à première vue de manière certaine, alors il incombe à l'autorité à qui l'acte est adressé de procéder à une vérification par la voie normale et raisonnable qu'elle juge utile. A tout le moins est-il inadmissible de sanctionner cette simple incertitude de l'autorité par la perte du droit de recours. La Cour de cassation civile n'indique d'ailleurs pas quelle disposition légale aurait été violée par le fait que le signataire de l'acte n'a pas précisé sa qualité à côté de sa signature; elle n'indique pas davantage selon quelle disposition légale ou en vertu de quelle règle de jurisprudence la sanction d'une telle "informalité" devrait être l'irrecevabilité du recours. Dans ces circonstances, on doit conclure que l'arrêt attaqué est entaché d'un formalisme excessif qui n'est pas justifié par la sauvegarde d'intérêts importants, de sorte qu'il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