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19 vom 1. Januar 1982</w:t>
      </w:r>
    </w:p>
    <w:p>
      <w:r>
        <w:t>Bundesgericht (BGE), 1982-01-01, FR</w:t>
      </w:r>
    </w:p>
    <w:p>
      <w:r>
        <w:rPr>
          <w:b/>
        </w:rPr>
        <w:t xml:space="preserve">Quelle: </w:t>
      </w:r>
      <w:r>
        <w:t>https://mcp.opencaselaw.ch/entscheid/bge_BGE_108_Ia_19</w:t>
      </w:r>
    </w:p>
    <w:p>
      <w:r>
        <w:t>FR: BGE BGE 108 Ia 19 du 1 janvier 1982</w:t>
      </w:r>
    </w:p>
    <w:p>
      <w:r>
        <w:t>IT: BGE BGE 108 Ia 19 del 1 gennaio 1982</w:t>
      </w:r>
    </w:p>
    <w:p>
      <w:pPr>
        <w:pStyle w:val="Heading2"/>
      </w:pPr>
      <w:r>
        <w:t>Regeste</w:t>
      </w:r>
    </w:p>
    <w:p>
      <w:r>
        <w:t>Regeste Art. 4 BV. Moderation der Honorarrechnung eines Anwalts für seine Tätigkeit in einem Verfahren vor einem kantonalen Zivilgericht. Es ist willkürlich in einem Streit zwischen Miteigentümern über die Teilung der Sache die Entschädigung der verschiedenen, die obsiegenden Miteigentümer vertretenden Anwälte auf der Basis des Gesamtwertes der Sache zu berechnen.</w:t>
      </w:r>
    </w:p>
    <w:p>
      <w:r>
        <w:t>Regeste Art. 4 Cst. Modération des honoraires d'un avocat pour la procédure devant l'autorité cantonale. Dans le cadre d'un litige entre copropriétaires relatif au partage de la chose, il est arbitraire, lorsque les copropriétaires défendeurs qui l'emportent sont représentés par des avocats différents, de décider que chacun des mandataires a droit à des dépens calculés sur la valeur totale de la chose.</w:t>
      </w:r>
    </w:p>
    <w:p>
      <w:r>
        <w:t>Regesto Art. 4 Cost. Moderazione dell'onorario di un avvocato per un procedimento avanti l'autorità cantonale. Nel quadro di una lite tra comproprietari relativa alla divisione di una cosa, è arbitrario, ove i comproprietari convenuti vittoriosi siano patrocinati da avvocati differenti, decidere che ognuno di tali avvocati abbia diritto a ripetibili determinate in base al valore complessivo della cosa.</w:t>
      </w:r>
    </w:p>
    <w:p>
      <w:pPr>
        <w:pStyle w:val="Heading2"/>
      </w:pPr>
      <w:r>
        <w:t>Erwägungen</w:t>
      </w:r>
    </w:p>
    <w:p>
      <w:r>
        <w:rPr>
          <w:b/>
        </w:rPr>
        <w:t>E. 1</w:t>
      </w:r>
    </w:p>
    <w:p>
      <w:r>
        <w:t>La recourante soutient que le président du Tribunal cantonal a commis arbitraire en décidant que chaque mandataire avait droit à des honoraires calculés sur la valeur totale de l'immeuble, quelle que fût la quote-part de son mandant à la copropriété litigieuse.</w:t>
      </w:r>
    </w:p>
    <w:p>
      <w:r>
        <w:rPr>
          <w:b/>
        </w:rPr>
        <w:t>E. 2</w:t>
      </w:r>
    </w:p>
    <w:p>
      <w:r>
        <w:t>Dans le cadre d'une action en partage d'une succession ( art. 604 CC ), le Tribunal fédéral a dit que, lorsque le droit même de demander le partage est contesté, la valeur litigieuse est représentée par la valeur totale du patrimoine à partager ( ATF 86 II 454 /455 consid. 2). Mais les données du cas n'étaient pas identiques: il y avait propriété commune, non copropriété. Certes, du point de vue juridique, on peut soutenir que, quand le procès tend à ce que l'immeuble entier continue à être soumis au régime de la copropriété, l'intérêt de chaque copropriétaire n'est pas limité à sa seule part. Toutefois, il l'est économiquement: chacun des copropriétaires a les droits et les charges du propriétaire en raison de sa part ( art. 646 al. 3 CC ), jouit de la chose et en use dans la mesure compatible avec le droit des autres ( art. 648 al. 1 CC ), contribue aux frais et charges en raison de sa part ( art. 649 CC ) (cf., pour la propriété par étages, les art. 712a al. 2 et 712h al. 1 CC). L'application des principes énoncés dans la décision attaquée conduirait à des résultats inacceptables. La recourante observe BGE 108 Ia 19 S. 22 que, dans l'éventualité de copropriétaires particulièrement nombreux, chacun représenté par un mandataire différent, le montant total des honoraires pourrait dépasser la valeur de l'immeuble objet du litige. On conçoit mal aussi qu'au cas où la plupart des défendeurs auraient acquiescé à la demande, les copropriétaires restés en cause et l'ayant emporté pussent calculer les honoraires de leurs avocats sur la valeur totale de l'immeuble. Il est inexact d'affirmer, comme le fait l'intimé, que la situation serait identique pour les défendeurs s'ils perdaient le procès: le copropriétaire demandeur n'a pas la possibilité de réclamer à chaque copropriétaire défendeur des honoraires calculés sur la valeur totale de l'immeuble. Même en l'espèce, il est choquant qu'un copropriétaire dont la quote-part n'atteint que 1/8 puisse exiger de sa partie adverse des dépens déterminés de cette façon.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