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140 vom 1. Januar 1982</w:t>
      </w:r>
    </w:p>
    <w:p>
      <w:r>
        <w:t>Bundesgericht (BGE), 1982-01-01, DE</w:t>
      </w:r>
    </w:p>
    <w:p>
      <w:r>
        <w:rPr>
          <w:b/>
        </w:rPr>
        <w:t xml:space="preserve">Quelle: </w:t>
      </w:r>
      <w:r>
        <w:t>https://mcp.opencaselaw.ch/entscheid/bge_BGE_108_Ia_140</w:t>
      </w:r>
    </w:p>
    <w:p>
      <w:r>
        <w:t>FR: BGE BGE 108 Ia 140 du 1 janvier 1982</w:t>
      </w:r>
    </w:p>
    <w:p>
      <w:r>
        <w:t>IT: BGE BGE 108 Ia 140 del 1 gennaio 1982</w:t>
      </w:r>
    </w:p>
    <w:p>
      <w:pPr>
        <w:pStyle w:val="Heading2"/>
      </w:pPr>
      <w:r>
        <w:t>Regeste</w:t>
      </w:r>
    </w:p>
    <w:p>
      <w:r>
        <w:t>Regeste Art. 89 OG; Art. 4 und 31 BV; Zürcher Unterhaltungsgewerbegesetz, Zulässigkeit des Verbots ideeller Immissionen. 1. Nach zürcherischem Recht läuft die Beschwerdefrist für die Anfechtung eines durch die Volksabstimmung angenommenen Erlasses von der Veröffentlichung des Erwahrungsbeschlusses des Kantonsrats im Amtsblatt an (E. 1). 2. Die Kantone und Gemeinden können baupolizeiliche und dem Schutz der Umgebung dienende Immissionsvorschriften auch bezüglich Betrieben aufstellen, die dem Arbeitsgesetz unterstehen (E. 5b). 3. Unbestimmte Rechtsbegriffe (wie "ideelle Immissionen") verstossen nicht gegen Art. 4 BV, sofern sie sich verfassungskonform auslegen lassen (E. 5c aa). 4. Dass Bewilligungen zum Betrieb von Unterhaltungsbetrieben nicht erteilt werden sollen, wenn von diesen übermässige Einwirkungen ideeller Art auf die Nachbarschaft ausgehen, liegt im öffentlichen Interesse und stellt eine zulässige, polizeilich motivierte Einschränkung der Handels- und Gewerbefreiheit dar (E. 5c bb).</w:t>
      </w:r>
    </w:p>
    <w:p>
      <w:r>
        <w:t>Regeste Art. 89 OJ; art. 4 et 31 Cst.; loi zurichoise sur les entreprises de loisirs interdisant les immissions de nature immatérielle; admissibilité d'une telle interdiction. 1. En droit zurichois, le délai pour recourir contre un arrêté de portée générale adopté en votation populaire court dès la publication dans la feuille officielle de la décision de promulgation prise par le Grand Conseil (consid. 1). 2. Les cantons et les communes peuvent prévoir dans leur réglementation de la police des constructions et de la protection de l'environnement des dispositions sur les immissions applicables également aux entreprises soumises à la loi sur le travail (consid. 5b). 3. Des notions juridiques imprécises, telles que celle d'"immissions de nature immatérielle", ne violent pas l'art. 4 Cst. si elles sont susceptibles de recevoir une interprétation conforme à la constitution (consid. 5c aa). 4. Le refus d'octroyer le permis d'exploitation à des entreprises de loisirs qui exercent moralement des influences excessives sur le voisinage, repose sur un intérêt public et constitue une atteinte - admissible et justifiée par des mesures de police - à la liberté du commerce et de l'industrie (consid. 5c bb).</w:t>
      </w:r>
    </w:p>
    <w:p>
      <w:r>
        <w:t>Regesto Art. 89 OG; art. 4 e 31 Cost.; legge zurighese sugli esercizi che offrono occasioni di trattenimento, costituzionalità del divieto ivi contenuto d'immissioni di natura immateriale. 1. In diritto zurighese, il termine per ricorrere contro un decreto di obbligatorietà generale adottato in una votazione popolare comincia a decorrere dalla pubblicazione nel foglio ufficiale della decisione di promulgazione emanata dal Gran Consiglio (consid. 1). 2. I cantoni e i comuni possono adottare norme edilizie e di protezione dell'ambiente applicabili anche alle imprese soggette alla legge sul lavoro (consid. 5b). 3. Nozioni giuridiche indeterminate (come quella di "immissioni di natura immateriale") non violano l'art. 4 Cost. se sono suscettibili d'essere interpretate in modo conforme alla Costituzione (consid. 5c aa). 4. Il diniego della patente ad esercizi che dànno luogo ad effetti di natura immateriale eccessivi per il vicinato si fonda su di un interesse pubblico e costituisce una limitazione della libertà di commercio e d'industria consentita e giustificata da ragioni di polizia (consid. 5c bb).</w:t>
      </w:r>
    </w:p>
    <w:p>
      <w:pPr>
        <w:pStyle w:val="Heading2"/>
      </w:pPr>
      <w:r>
        <w:t>Erwägungen</w:t>
      </w:r>
    </w:p>
    <w:p>
      <w:r>
        <w:rPr>
          <w:b/>
        </w:rPr>
        <w:t>E. 1</w:t>
      </w:r>
    </w:p>
    <w:p>
      <w:r>
        <w:t>Das Büro des Kantonsrates begründet seinen Antrag auf Nichteintreten damit, dass der Text des Gesetzes bereits mit der Abstimmungsvorlage am 21. August 1981 und die Ergebnisse der Volksabstimmung am 6. Oktober 1981 bzw. der Inkraftsetzungsbeschluss am 21. Oktober 1981 (recte 6. November) publiziert worden seien. Die Beschwerde vom 14. Dezember 1981 sei daher verspätet. Gemäss Art. 89 Abs. 1 OG ist die Beschwerde binnen 30 Tagen, von der nach dem kantonalen Recht massgebenden Eröffnung oder Mitteilung des Erlasses an gerechnet, einzureichen. Abzustellen ist somit auf die Veröffentlichung des Erlasses selbst und der Feststellung, dass derselbe rechtens zustandegekommen ist und damit in Kraft treten kann, wobei es eine Frage des kantonalen Rechts ist, was unter "Eröffnung" bzw. "Mitteilung" ( Art. 89 Abs. 1 OG ) zu verstehen ist. Dazu wurde bereits in BGE 99 Ia 180 festgestellt, dass nach zürcherischem Recht die Veröffentlichung im Amtsblatt des Kantons Zürich die massgebliche Form darstellt (§ 2 des Gesetzes betreffend die Einführung eines Amtsblattes vom 18. Dezember 1833). Die dreissigtägige Beschwerdefrist nach Art. 89 OG begann daher nicht vor der Veröffentlichung des Erwahrungsbeschlusses des Kantonsrates im Amtsblatt zu laufen, in welchem festgestellt wird, dass keine Einsprachen gegen das Ergebnis der Volksabstimmung eingereicht oder dass diese erledigt sind, und demzufolge das Gesetz "als vom Volke angenommen erklärt" wird. Da der Erwahrungsbeschluss erst am 13. November 1981 im Amtsblatt veröffentlicht worden ist, wurde die vorliegende Beschwerde unter Berücksichtigung des Bundesgesetzes vom 21. Juni 1963 über den Fristenlauf rechtzeitig eingereicht.</w:t>
      </w:r>
    </w:p>
    <w:p>
      <w:r>
        <w:rPr>
          <w:b/>
        </w:rPr>
        <w:t>E. 5</w:t>
      </w:r>
    </w:p>
    <w:p>
      <w:r>
        <w:t>a) Nach der Darstellung in der Vernehmlassung besteht der Hauptzweck des angefochtenen Gesetzes darin, übermässige Einwirkungen (Immissionen) ideeller oder materieller Art auf die Nachbarschaft zu verhindern (§ 2 Abs. 2), die von ortsansässigen Unterhaltungsbetrieben ausgehen. Dieses Ziel soll sowohl bei bewilligungspflichtigen wie auch bei bewilligungsfreien Betrieben angestrebt werden. Die Bewilligung ist insbesondere dann zu verweigern, wenn wegen der Lage des Betriebslokals eine übermässige Einwirkung ideeller oder materieller Art auf die Nachbarschaft zu erwarten oder eingetreten ist (§ 13 Abs. 2). BGE 108 Ia 140 S. 143 b) Der Beschwerdeführer rügt die allgemeine Ausrichtung des UGG auf die Nachbarschaft, d.h. die Umgebung eines Unterhaltungsgewerbes, erst in der Beschwerdeergänzung. In der Beschwerde selbst wandte er sich in dieser Hinsicht nur gegen den Begriff der ideellen Immission (vgl. lit. c hienach); das Verbot materieller Immissionen wurde hingegen nicht angefochten. Die neue Rüge, § 2 Abs. 2 UGG sei infolge der derogatorischen Kraft des Bundesrechts (Art. 2 Übergangsbestimmungen der Bundesverfassung) bundesrechtswidrig, da Art. 6 Abs. 1 des Bundesgesetzes über die Arbeit in Industrie, Gewerbe und Handel (ArG) den Schutz der Umgebung eines Betriebes vor schädlichen und lästigen Einwirkungen abschliessend regle, ist verspätet. Die Beschwerdeergänzung gemäss Art. 93 Abs. 2 OG ist nur insoweit statthaft, als die Erwägungen der kantonalen Behörde dazu Anlass geben; hingegen dürfen keine neuen Anträge gestellt und keine neuen Rügen vorgebracht werden, die schon in der Beschwerde selber hätten erhoben werden können ( BGE 102 Ia 213 ). Da die Rüge der Verletzung der derogatorischen Kraft des Bundesrechts schon in der Beschwerde hätte erhoben werden können, ist darauf nicht einzutreten. Diese Rüge erwiese sich übrigens materiell als unbegründet. Polizeivorschriften der Kantone ohne Arbeitsschutz als Hauptzweck sind vom Arbeitsgesetz vorbehalten ( Art. 71 lit. c ArG ; vgl. WALTER HUG, Kommentar zum Arbeitsgesetz, Bern 1971, N. 23 zu Art. 71-73). Beim Schutz der Umgebung des Betriebs vor schädlichen und lästigen Einwirkungen wird nicht der Schutz der Arbeitnehmer angestrebt, sondern der Schutz der Bevölkerung im allgemeinen. So können die Kantone und Gemeinden baupolizeiliche Immissionsvorschriften auch bezüglich Betrieben aufstellen, die dem Arbeitsgesetz unterstehen. c) In der staatsrechtlichen Beschwerde wurden die Vorschriften in § 2 Abs. 2 und § 13 Abs. 2 UGG aus zwei Gründen als verfassungswidrig bezeichnet. Einmal sei der Begriff der "ideellen Immission" nicht genügend umschrieben, so dass der Bürger die Wirkung des Gesetzes nicht im voraus einigermassen zuverlässig abzuschätzen vermöge. Diese ungenügende Bestimmtheit stelle einen Verstoss gegen Art. 4 BV dar. Gesetze müssten klar und genügend bestimmt sein, damit der Bürger voraussehen könne, was erlaubt und was unerlaubt ist. Die Bestimmungen seien aber auch deshalb verfassungswidrig, weil sie kein eigentliches polizeiliches Motiv verfolgten, sondern BGE 108 Ia 140 S. 144 weil andere Beweggründe im Spiel seien. Es solle offensichtlich gegen das angeblich wuchernde Sex-Gewerbe in der Stadt Zürich vorgegangen werden, weil dieses in den betroffenen Kreisen zu Protesten und politischen Vorstössen geführt habe. Anstatt nun aber, soweit tatsächlich erforderlich, das in solchen Fragen immer noch massgebende Strafrecht anzuwenden, werde ein verwaltungsrechtlicher Weg beschritten, indem für bestimmte Unterhaltungsgewerbe eine Bewilligungspflicht eingeführt wird. Dieselbe verletze, zumal dabei auf "ideelle Immissionen" abgestellt werden solle, die Handels- und Gewerbefreiheit. Die beiden Rügen der Verfassungsverletzung sind nachfolgend zu untersuchen. aa) Der Beschwerdeführer macht geltend, der Begriff der "ideellen Immission" sei bisher in der Rechtswissenschaft nicht bekannt. Dies trifft nicht zu, würde aber auch nicht ausschliessen, dass ein solcher Begriff in einem neuen Gesetz erstmals verwendet wird. Bekanntlich gibt es neben dem zivilrechtlichen Immissionsverbot gemäss Art. 684 ZGB zahlreiche öffentlichrechtliche Immissionsverbote auf der Stufe der Kantone und Gemeinden. Wenn es sich dabei auch um verschiedene, voneinander grundsätzlich unabhängige Ordnungen handelt, hindert dies nicht, dass der Schutz, der durch diese beiden Instrumente vermittelt wird, in konkreten Fällen der gleiche sein kann und der Wortlaut der entsprechenden Normen häufig weitgehend übereinstimmt. Begriffe, die sich in einem Normkreis als geeignet erweisen, können dies auch in einem andern sein. Gemäss Art. 684 ZGB ist jedermann verpflichtet, bei der Ausübung seines Eigentums, wie namentlich bei dem Betrieb eines Gewerbes auf seinem Grundstück, sich aller übermässigen Einwirkung auf das Eigentum des Nachbarn zu enthalten. Verboten sind insbesondere alle schädlichen und nach Lage und Beschaffenheit der Grundstücke oder nach Ortsgebrauch nicht gerechtfertigten Einwirkungen durch Rauch oder Russ, lästige Dünste, Lärm oder Erschütterung. Obwohl man aus der letztgenannten Aufzählung allenfalls schliessen könnte, es seien nur materielle Immissionen verboten, hat das Bundesgericht schon früh auch immaterielle Immissionen unter diese Bestimmung subsumiert. Das ZGB beschränkt das Einspracherecht des Eigentümers nicht auf die sogenannten körperlichen Immissionen; es verbietet allgemein "alle übermässigen Eingriffe" und zieht die Grenze zwischen dem, was der Nachbar als zulässig dulden und dem, was er als BGE 108 Ia 140 S. 145 übermässig abwehren darf, einzig nach den Anforderungen, die sich aus den Bedürfnissen des menschlichen Zusammenlebens ergeben ( BGE 42 II 452 ). Die Doktrin folgt heute dem Bundesgericht in dieser Auslegung (vgl. ARTHUR MEIER-HAYOZ, Kommentar zum Sachenrecht, N. 73 zu Art. 684). Eine strenge Scheidung zwischen materiellen und immateriellen Immissionen ist auch nicht immer möglich. Materielle Immissionen sind häufig mit schwerwiegenden psychischen Schäden verbunden (MEIER-HAYOZ, N. 75), und die Schädlichkeit, z.B. des Lärmes, hängt nicht nur von der naturwissenschaftlich messbaren Phonstärke ab, sondern auch von andern Komponenten, die vorab psychisch wirken. Instruktiv ist die Kasuistik, die zum Tatbestand der ideellen Immissionen (im Zivilrecht) entwickelt wurde (vgl. MEIER-HAYOZ, N. 180): Betrieb eines Asyls für unheilbare Kranke neben einer Villa; Anblick der in einem Freibad sich an- und auskleidenden Badegäste; unmittelbare Nachbarschaft eines Schlachthauses; die Nachbarschaft einer Bedürfnisanstalt; Einbau von Urnennischen in eine Friedhofmauer, die mit der nachbarlichen Hauswand eine Einheit bildet; die ästhetische Erscheinung eines Gebäudes, z.B. die Errichtung einer ausgesprochen hässlichen, das Schönheitsgefühl grob verletzenden Baute. Schon diese Praxis zeigt, dass der unbestimmte Rechtsbegriff der ideellen Immission ebenso wie jener der Immission (übermässige Einwirkung) überhaupt offenbar ein taugliches Rechtsinstrument darstellt. Es liegt eben im Wesen des Immissionsrechts, dass es nicht anders geregelt werden kann als mit dem weiten Begriff der "übermässigen Einwirkung". In jedem konkreten Fall muss festgestellt werden, was anhand der Situation als übermässige Einwirkung anzusehen ist. Das gilt sowohl für die privatrechtliche als auch für die öffentlichrechtliche Immissionsvorschrift. Der Bürger hat keinen Anspruch darauf, schon bei Erlass des Gesetzes eine Kasuistik mitgeliefert zu erhalten. Es ist allerdings nicht zu leugnen, dass sich die Auswirkungen derartiger Regelungen nicht genau voraussehen lassen und dass es einer langen Praxis - die ihrerseits immer wieder neuen Gegebenheiten angepasst werden muss - bedarf, um das Immissionsrecht zu konkretisieren. Darin unterscheiden sich die materiellen Immissionen nicht von den immateriellen. Wohl gibt es bei den ersteren teilweise naturwissenschaftliche Messmethoden, doch muss deren Tragweite in rechtlicher Hinsicht gleichermassen durch die Praxis bestimmt werden (z.B. die Dezibel-Grenze bei Lärmimmissionen). Dabei ist BGE 108 Ia 140 S. 146 nicht zu verkennen, dass die rechtsanwendende Behörde bei der Beurteilung immaterieller Immissionen mit besonderer Sorgfalt vorzugehen hat, da die Gefahr, einen objektiven Standpunkt zu verlassen und persönliche Gesichtspunkte zu überschätzen, bei der Einschätzung seelischer und moralischer Beeinträchtigungen besonders gross ist (MEIER-HAYOZ, N. 76). Demnach besteht kein Anlass, solche Normen, die sich durchaus verfassungskonform handhaben lassen, deswegen im Rahmen einer abstrakten Normenkontrolle aufzuheben. Der Begriff der ideellen Immission ist als solcher genügend klar. Man kann ihn durchaus so definieren, wie dies in der seinerzeitigen Vernehmlassung des Stadtrates von Zürich zum Gesetzesentwurf geschehen ist: "Ideelle Immissionen sind solche Einwirkungen, welche das seelische Empfinden verletzen beziehungsweise unangenehme psychische Eindrücke erwecken. Sie können die Nachbarn direkt belästigen oder aber indirekte Wirkungen zeitigen, indem sie die Vermietbarkeit von Wohnungen erschweren oder den Geschäften ihre Kunden fernhalten." Der Einwand, die §§ 2 Abs. 2 und 13 Abs. 2 des UGG würden wegen der Unbestimmtheit des darin verwendeten Begriffs der "ideellen Immission" gegen Art. 4 BV verstossen, ist also nicht begründet. bb) Öffentlichrechtliche Immissionsvorschriften können Schranken sowohl der Eigentumsgarantie als auch der Handels- und Gewerbefreiheit darstellen. Um zulässig zu sein, müssen sie auf einer genügenden gesetzlichen Grundlage beruhen, dem öffentlichen Interesse dienen und verhältnismässig und rechtsgleich sein. Insbesondere kantonale Bestimmungen über die Ausübung von Handel und Gewerbe sind in Art. 31 Abs. 2 BV ausdrücklich vorbehalten; sie dürfen jedoch, soweit die Bundesverfassung nichts anderes vorsieht, den Grundsatz der Handels- und Gewerbefreiheit nicht beeinträchtigen, d.h. sie dürfen keine wirtschaftspolitische, sondern nur eine polizeiliche oder sozialpolitische Zwecksetzung haben. Dass das Strafrecht bestimmten öffentlichen Interessen ebenfalls Schutz gewährt, schliesst verwaltungsrechtliche - präventive oder repressive - Schutzbestimmungen nicht aus. Auch das Argument, es solle mit der angefochtenen Regelung offensichtlich gegen das angeblich wuchernde Sex-Gewerbe vorgegangen werden, weil dieses in den betroffenen Kreisen zu Protesten und politischen Vorstössen geführt habe, lässt nicht auf das Fehlen BGE 108 Ia 140 S. 147 eines (verfassungsrechtlich zulässigen) polizeilichen Motivs schliessen. Die Kernfrage ist, ob die Verhinderung übermässiger ideeller Einwirkungen auf die Nachbarschaft einem genügenden öffentlichen Interesse entspricht (vgl. BGE 97 I 506 E. 4c am Ende). Denn die Anerkennung des Schutzes vor ideellen Immissionen im privaten Nachbarrecht heisst noch nicht, dass ein gleiches auch im öffentlichen Immissionsschutz möglich ist; hiezu bedarf es des weiteren Elementes des öffentlichen Interesses, das eben beim privaten Nachbarschutz nicht erforderlich ist. Es ist nicht einzusehen, warum zwar der Schutz vor materiellen Immissionen neben dem privaten nachbarrechtlichen auch einem öffentlichen Bedürfnis entsprechen soll (was in der Praxis allgemein anerkannt ist), nicht aber der Schutz vor immateriellen, ideellen Immissionen. Das öffentliche Interesse bezieht sich nicht nur auf Materielles, wie die im Bau- und Planungsrecht geläufige Ästhetikklausel, die sich auf ideellen Werte bezieht, sowie die Begriffe des Landschafts- und Ortsbildschutzes zeigen. Was ursprünglich ausschliesslich dem Schutz privater Interessen diente, erwies sich im Laufe der Zeit immer mehr auch als gesellschaftspolitisch bedeutsam. Je enger die Menschen unter den modernen zivilisatorischen Verhältnissen zusammenleben, umso mehr wird der Schutz des Einzelnen auch zu einer öffentlichen Aufgabe, wie sich gerade im Bereiche des Immissionsschutzes gezeigt hat. Angesichts dieser Entwicklung geht es nicht an, den Schutz vor ideellen Immissionen allein dem Nachbarrecht zu überlassen, zumal ideelle Werte nicht weniger hoch einzustufen sind als materielle. So hängt etwa die Wohnqualität, deren Schutz heute nicht nur einem privaten, sondern auch einem öffentlichen Interesse entspricht, auch von ideellen Faktoren ab: nicht nur Lärm und Gerüche, sondern auch eine unästhetische oder sonstwie unerfreuliche Umgebung können die Wohnqualität (und sei es auch nur über den Ruf der Wohngegend) in erheblichem Mass beeinträchtigen. Moderne Unterhaltungsgewerbe, die mit Sex-Geschäfte machen, brauchen zwar die öffentliche Sittlichkeit als solche nicht zu beeinträchtigen, sie können aber unter Umständen auf die Umgebung derart unangenehm und lästig wirken, dass auch dies zu verhindern im öffentlichen Interesse liegt. Gerade die Entwicklung im Gebiet der Brauerstrasse in Zürich hat gezeigt, dass das besonders penetrante, auf breiten Konsum ausgerichtete Sex-Gewerbe einer Peep-Show weitere Sex-Gewerbe nach sich zieht und dass BGE 108 Ia 140 S. 148 diese insgesamt - und über den von ihnen selbst beanspruchten Raumbedarf hinaus - einem Wohngebiet die Wohnqualität nehmen und dadurch zur "Verslumung" beitragen. Die Erhaltung bestimmter Gebiete für ihren angestammten Nutzungszweck ist aber ebenfalls ein anerkanntes öffentliches Interesse, das als Schranke sowohl für die Eigentumsgarantie wie auch für die Handels- und Gewerbefreiheit in Betracht fällt. Dem Schutz dieses öffentlichen Interesses dient zwar in erster Linie das öffentliche Planungs- und Baurecht, doch ist ein Zusammenwirken gewerbepolizeilicher Gesetze (wie des UGG) mit dem öffentlichen Bau- und Planungsrecht insofern denkbar, als das letztere durch seine Nutzungsbestimmungen den Rahmen für das zulässige Mass gewerblicher Einwirkungen absteckt, während die ersteren die unzulässigen Immissionsquellen bezeichnen. Das ermöglicht ein selektives Vorgehen durch den Gesetzgeber, was gerade bei ideellen Immissionen erwünscht sein kann. Die überwiegende Mehrheit, mit welcher das Zürcher Volk dem UGG zugestimmt hat, spricht dafür, dass die Allgemeinheit ideelle Immissionen aus Unterhaltungsbetrieben in bestimmten Verhältnissen als derart beeinträchtigend empfindet, dass deren Verbot einem öffentlichen Interesse entspricht. Dies zu beschliessen liegt in der Macht des kantonalen Gesetzgebers und hält vor der Handels- und Gewerbefreiheit stand. Die Norm ihrerseits ist im Anwendungsfall verfassungskonform zu handhaben. Aus ihrer Ausrichtung auf den Immissionsschutz hin ergibt sich für die Behörden namentlich die Pflicht, bei der Würdigung ideeller Immissionen den Charakter der fraglichen Umgebung zu berücksichtigen, wie dies in § 2 Abs. 2 UGG sinngemäss vorgesehen ist. Der Begriff der ideellen Immissionen erweist sich in örtlicher Hinsicht damit als weniger weittragend als derjenige der öffentlichen Sittlichkeit, der an bestimmten moralischen Vorstellungen anknüpft und damit von räumlichen Einschränkungen frei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