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21</w:t>
      </w:r>
    </w:p>
    <w:p>
      <w:r>
        <w:t>Bundesgericht (BGE), 1982-01-01, DE</w:t>
      </w:r>
    </w:p>
    <w:p>
      <w:r>
        <w:rPr>
          <w:b/>
        </w:rPr>
        <w:t xml:space="preserve">Quelle: </w:t>
      </w:r>
      <w:r>
        <w:t>https://mcp.opencaselaw.ch/entscheid/bge_BGE_108_IV_21</w:t>
      </w:r>
    </w:p>
    <w:p>
      <w:r>
        <w:t>FR: ATF 108 IV 21</w:t>
      </w:r>
    </w:p>
    <w:p>
      <w:r>
        <w:t>IT: DTF 108 IV 21</w:t>
      </w:r>
    </w:p>
    <w:p>
      <w:pPr>
        <w:pStyle w:val="Heading2"/>
      </w:pPr>
      <w:r>
        <w:t>Regeste</w:t>
      </w:r>
    </w:p>
    <w:p>
      <w:r>
        <w:t>Regeste Art. 173 ff. StGB. Einer gemischtwirtschaftlichen Unternehmung, die nach den Bestimmungen des Obligationenrechts strukturiert ist, steht der strafrechtliche Schutz der Ehre zu.</w:t>
      </w:r>
    </w:p>
    <w:p>
      <w:r>
        <w:t>Regeste Art. 173 ss CP. Une entreprise de droit mixte qui est organisée selon les règles du code des obligations peut se prévaloir des dispositions assurant la protection de l'honneur.</w:t>
      </w:r>
    </w:p>
    <w:p>
      <w:r>
        <w:t>Regesto Art. 173 segg. CP. Un'impresa di diritto misto, organizzata secondo le norme del Codice delle obbligazioni, può prevalersi delle disposizioni penali che tutelano l'onore.</w:t>
      </w:r>
    </w:p>
    <w:p>
      <w:pPr>
        <w:pStyle w:val="Heading2"/>
      </w:pPr>
      <w:r>
        <w:t>Erwägungen</w:t>
      </w:r>
    </w:p>
    <w:p>
      <w:r>
        <w:rPr>
          <w:b/>
        </w:rPr>
        <w:t>E. 2</w:t>
      </w:r>
    </w:p>
    <w:p>
      <w:r>
        <w:t>Die Beschwerdeführer bestreiten die Aktivlegitimation der X. AG, indem sie geltend machen, es handle sich bei der Beschwerdegegnerin wohl in formeller Hinsicht um eine juristische Person, die aber in Wirklichkeit - vom Staat Y. beherrscht - eine öffentlichrechtliche Körperschaft darstelle und - wie sich aus BGE 69 IV 81 ergebe - der Beleidigungsfähigkeit entbehre. Zunächst ist klarzustellen, dass das Bundesgericht im zitierten Entscheid über den strafrechtlichen Ehrenschutz von Behörden (Stadtrat), und nicht über jenen öffentlichrechtlicher oder privatrechtlicher juristischer Körperschaften zu befinden hatte. Im zu beurteilenden Falle indessen führt die X. AG als eine Personengesamtheit mit eigener Rechtspersönlichkeit Ehrverletzungsklage. Nach den unbestrittenen und verbindlichen Feststellungen der Vorinstanz ist die X. AG eine gemischtwirtschaftliche Unternehmung, die nach den Bestimmungen des Obligationenrechts strukturiert ist und nicht spezialrechtlicher (hoheitsrechtlicher) Normierung unterliegt, so dass sie trotz Verfolgung eines öffentlichen Zweckes und erheblicher Beteiligung öffentlichrechtlicher Körperschaften (Kantone, Gemeinden etc.) eine juristische Person des Privatrechts bleibt ( Art. 762 und 926 OR ; SCHÜRMANN, Das Recht der gemischtwirtschaftlichen und öffentlichen Unternehmung mit privatrechtlicher Organisation, ZSR 72/1953, S. 181a Ziff. 1; BGE 108 IV 21 S. 22 SCHWARZENBACH, Grundriss des allgemeinen Verwaltungsrechts, 8. Aufl., 1980, S. 224/225). Juristische Personen des Privatrechts oder allenfalls des öffentlichen Rechts (unter Vorbehalt von Spezialgesetz und Hoheitsrecht) sind aller (privatrechtlichen) Rechte fähig und teilhaftig, die nicht natürliche Eigenschaften des Menschen zur notwendigen Voraussetzung haben ( Art. 52 Abs. 2, Art. 53, Art. 59 Abs. 2 ZGB ; EGGER, ZH-Komm., 1930, N. 11 zu Art. 53, N. 14 zu Art. 59; GUTZWILLER, Schweiz. Privatrecht, Bd. II, 1967, S. 475; BGE 96 IV 148 , BGE 95 II 488 E. 4, BGE 71 IV 36 /37). So steht ihnen nach geltender Lehre und Rechtsprechung zumindest für jene Fälle, in welchen die eingeklagte Äusserung gegenüber Dritten getan wurde, und so die äussere Geltung der Persönlichkeit tangiert wird, die strafrechtlich geschützte Ehre zu ( BGE 96 IV 149 ; BGE 71 IV 37 ; HAFTER, Schweizerisches Strafrecht, besonderer Teil I, 1937, S. 185-187; STRATENWERTH, Strafrecht, besonderer Teil I, 1978, S. 112-114; REHBERG, Strafrecht III, 1980, S. 103-104; ROTH, Der strafrechtliche Schutz der Ehre von Personenmehrheiten, Diss. Bern 1974, S. 64, 70, 76, 97 ff.). Die Beschwerdeführer gelangten mit ihrem Inserat direkt an die Öffentlichkeit, weshalb im vorliegenden Fall die X. AG den Schutz von Art. 173 ff. StGB geniesst. Die Vorinstanz hat zurecht die Aktivlegitimation der Beschwerdegegnerin bejaht.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