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202</w:t>
      </w:r>
    </w:p>
    <w:p>
      <w:r>
        <w:t>Bundesgericht (BGE), 1982-01-01, DE</w:t>
      </w:r>
    </w:p>
    <w:p>
      <w:r>
        <w:rPr>
          <w:b/>
        </w:rPr>
        <w:t xml:space="preserve">Quelle: </w:t>
      </w:r>
      <w:r>
        <w:t>https://mcp.opencaselaw.ch/entscheid/bge_BGE_108_IV_202</w:t>
      </w:r>
    </w:p>
    <w:p>
      <w:r>
        <w:t>FR: ATF 108 IV 202</w:t>
      </w:r>
    </w:p>
    <w:p>
      <w:r>
        <w:t>IT: DTF 108 IV 202</w:t>
      </w:r>
    </w:p>
    <w:p>
      <w:pPr>
        <w:pStyle w:val="Heading2"/>
      </w:pPr>
      <w:r>
        <w:t>Regeste</w:t>
      </w:r>
    </w:p>
    <w:p>
      <w:r>
        <w:t>Regeste Art. 99 Abs. 1 VStrR; Anspruch auf Entschädigung für Nachteile aus materiell ungerechtfertigtem Strafbescheid. Die Entschädigungspflicht gemäss Art. 99 Abs. 1 VStrR gilt analog für nachteilige Folgen von Strafbescheiden nach Art. 62 VStrR (E. 2).</w:t>
      </w:r>
    </w:p>
    <w:p>
      <w:r>
        <w:t>Regeste Art. 99 al. 1 DPA; droit à une indemnité pour les préjudices résultant d'un mandat de répression erroné sur le fond. Le devoir d'indemniser conformément à l'art. 99 al. 1 DPA vaut par analogie pour les préjudices consécutifs à un mandat de répression au sens de l'art. 62 DPA (consid. 2).</w:t>
      </w:r>
    </w:p>
    <w:p>
      <w:r>
        <w:t>Regesto Art. 99 cpv. 1 DPA; diritto ad un'indennità per i pregiudizi risultanti da un decreto penale ingiustificato nel merito. L'obbligo d'indennizzo stabilito dall'art. 99 cpv. 1 DPA vale per analogia anche per i pregiudizi derivati da un decreto penale ai sensi dell'art. 62 DPA (consid. 2).</w:t>
      </w:r>
    </w:p>
    <w:p>
      <w:pPr>
        <w:pStyle w:val="Heading2"/>
      </w:pPr>
      <w:r>
        <w:t>Erwägungen</w:t>
      </w:r>
    </w:p>
    <w:p>
      <w:r>
        <w:rPr>
          <w:b/>
        </w:rPr>
        <w:t>E. 2</w:t>
      </w:r>
    </w:p>
    <w:p>
      <w:r>
        <w:t>Nach Art. 99 Abs. 1 VStrR ist dem Beschuldigten, gegen den das Verfahren eingestellt wird, auf sein Begehren eine Entschädigung für die Untersuchungshaft und für andere Nachteile, die er erlitten hat, auszurichten; sie kann jedoch ganz oder teilweise verweigert werden, wenn er die Untersuchung schuldhaft verursacht oder das Verfahren mutwillig erschwert oder verlängert hat. a) Dass im vorliegenden Fall Verweigerungsgründe im letztgenannten Sinne fehlen, wurde vom Bundesamt für Energiewirtschaft selber in seiner Einstellungsverfügung anerkannt. Es hielt jedoch dafür, dass die Untersuchungshandlungen für R. nicht objektiv schwer gewesen seien und er dadurch keinen erheblichen Nachteil erlitten habe. b) Nach der Rechtsprechung des Bundesgerichts besteht eine Entschädigungspflicht im Sinne des Art. 99 Abs. 1 VStrR nicht BGE 108 IV 202 S. 203 schon für jeden geringfügigen Nachteil; auch in einem Rechtsstaat hat der Bürger grundsätzlich das durch die Notwendigkeit der Verbrechensbekämpfung bedingte Risiko einer gegen ihn geführten materiell ungerechtfertigten Strafverfolgung bis zu einem gewissen Grad auf sich zu nehmen. Die Entschädigungspflicht setzt daher eine gewisse Schwere der Untersuchungshandlungen und einen dadurch bedingten erheblichen Nachteil voraus ( BGE 107 IV 157 E. 5; BGE 84 IV 46 /47 E. 2c). Diese Erwägungen haben zwar ausdrücklich bloss Bezug auf die nachteiligen Folgen einer Untersuchung. Sie müssen aber analog auch für Nachteile gelten, die dem Betroffenen aus einem im Verwaltungsstrafverfahren ergangenen Strafbescheid ( Art. 62 VStrR ) erwachsen können; denn nach Art. 101 Abs. 1 VStrR hat das Gericht auch über die Entschädigung für Nachteile im Verfahren vor der Verwaltung zu entscheiden. Tatsächlich ist es im vorliegenden Fall nicht bei Untersuchungshandlungen geblieben. Vielmehr wurden gegen den Beschwerdeführer zwei auf Fr. 400.-- und Fr. 500.-- Busse lautende Strafbescheide erlassen. Hierin lag für R. eine erhebliche Beschwer, gegen die er sich legitimerweise im Sinne von Art. 67 VStrR zur Wehr setzen durfte; hätte er es nämlich nicht getan, wären die Strafbescheide in Rechtskraft erwachsen. R. wäre diesfalls verurteilt gewesen und hätte den nicht geringen Bussenbetrag von insgesamt Fr. 900.-- und Kosten von Fr. 172.-- bezahlen müssen. Soweit er Vorkehrungen traf, die zur Abwendung jener Folge geboten erschienen und für ihn eine mehr als bloss unbedeutende finanzielle Belastung zur Folge hatten, lag demnach in dieser ein Nachteil im Sinne des Art. 99 Abs. 1 in Verbindung mit Art. 101 Abs. 1 VStrR , für den er eine Entschädigung fordern kann. Davon geht übrigens auch Art. 11 der Verordnung über Kosten und Entschädigungen im Verwaltungsstrafverfahren (KEV) aus, der ausdrücklich an Art. 99 und 101 VStrR anschliesst und eine Entschädigung für die Kosten des Verteidigers (Abs. 2 lit. a), für insgesamt Fr. 50.-- übersteigende Barauslagen und andere Spesen (lit. b) und für Verdienstausfall (lit. c) dem Beschuldigten nur versagt, wenn es sich um unnötige oder übersetzte Kosten handelt (Abs. 3). Voraussetzung für die Zusprechung einer Entschädigung ist allerdings in jedem Fall, dass der Ansprecher den behaupteten Nachteil substantiiert ( Art. 11 KEV ; BGE 107 IV 157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